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424C9B76" w:rsidR="0033266C" w:rsidRDefault="0033266C" w:rsidP="0033266C">
      <w:pPr>
        <w:pStyle w:val="3GPPHeader"/>
        <w:spacing w:after="60"/>
        <w:rPr>
          <w:sz w:val="32"/>
          <w:szCs w:val="32"/>
          <w:highlight w:val="yellow"/>
          <w:lang w:val="en-US"/>
        </w:rPr>
      </w:pPr>
      <w:bookmarkStart w:id="0" w:name="_Hlk524960236"/>
      <w:r>
        <w:rPr>
          <w:lang w:val="en-US"/>
        </w:rPr>
        <w:t>3GPP TSG-RAN WG1 Meeting #</w:t>
      </w:r>
      <w:r w:rsidR="0022258B">
        <w:rPr>
          <w:lang w:val="en-US"/>
        </w:rPr>
        <w:t>9</w:t>
      </w:r>
      <w:r w:rsidR="001320C8" w:rsidRPr="00785AF2">
        <w:rPr>
          <w:lang w:val="en-US"/>
        </w:rPr>
        <w:t>8</w:t>
      </w:r>
      <w:r>
        <w:rPr>
          <w:lang w:val="en-US"/>
        </w:rPr>
        <w:tab/>
      </w:r>
      <w:r>
        <w:rPr>
          <w:sz w:val="32"/>
          <w:szCs w:val="32"/>
          <w:lang w:val="en-US"/>
        </w:rPr>
        <w:t xml:space="preserve"> </w:t>
      </w:r>
      <w:r w:rsidRPr="00FB2642">
        <w:rPr>
          <w:sz w:val="32"/>
          <w:szCs w:val="32"/>
          <w:lang w:val="en-US"/>
        </w:rPr>
        <w:t>R1-</w:t>
      </w:r>
      <w:r w:rsidR="00BD13EF" w:rsidRPr="00FB2642">
        <w:rPr>
          <w:sz w:val="32"/>
          <w:szCs w:val="32"/>
          <w:lang w:val="en-US"/>
        </w:rPr>
        <w:t>19</w:t>
      </w:r>
      <w:r w:rsidR="000F3130" w:rsidRPr="00D655E6">
        <w:rPr>
          <w:sz w:val="32"/>
          <w:szCs w:val="32"/>
          <w:lang w:val="en-US"/>
        </w:rPr>
        <w:t>0</w:t>
      </w:r>
      <w:r w:rsidR="00FB2642" w:rsidRPr="00D655E6">
        <w:rPr>
          <w:sz w:val="32"/>
          <w:szCs w:val="32"/>
          <w:lang w:val="en-US"/>
        </w:rPr>
        <w:t>9295</w:t>
      </w:r>
    </w:p>
    <w:p w14:paraId="757DFB44" w14:textId="7FAB0D4C" w:rsidR="0033266C" w:rsidRPr="005B5E25" w:rsidRDefault="00785AF2" w:rsidP="0033266C">
      <w:pPr>
        <w:pStyle w:val="3GPPHeader"/>
        <w:spacing w:after="0"/>
      </w:pPr>
      <w:r w:rsidRPr="00D655E6">
        <w:rPr>
          <w:lang w:val="en-US"/>
        </w:rPr>
        <w:t>Prague, CZ, August 26</w:t>
      </w:r>
      <w:r w:rsidRPr="00D655E6">
        <w:rPr>
          <w:vertAlign w:val="superscript"/>
          <w:lang w:val="en-US"/>
        </w:rPr>
        <w:t>th</w:t>
      </w:r>
      <w:r w:rsidRPr="00D655E6">
        <w:rPr>
          <w:lang w:val="en-US"/>
        </w:rPr>
        <w:t xml:space="preserve"> – 30</w:t>
      </w:r>
      <w:r w:rsidRPr="00D655E6">
        <w:rPr>
          <w:vertAlign w:val="superscript"/>
          <w:lang w:val="en-US"/>
        </w:rPr>
        <w:t>th</w:t>
      </w:r>
      <w:r w:rsidR="00205C99" w:rsidRPr="00785AF2">
        <w:rPr>
          <w:lang w:val="en-US"/>
        </w:rPr>
        <w:t>,</w:t>
      </w:r>
      <w:r w:rsidR="002E75D6" w:rsidRPr="00785AF2">
        <w:rPr>
          <w:lang w:val="en-US"/>
        </w:rPr>
        <w:t xml:space="preserve"> </w:t>
      </w:r>
      <w:r w:rsidR="0033266C" w:rsidRPr="00785AF2">
        <w:rPr>
          <w:lang w:val="en-US"/>
        </w:rPr>
        <w:t>2019</w:t>
      </w:r>
    </w:p>
    <w:bookmarkEnd w:id="0"/>
    <w:p w14:paraId="335AC26B" w14:textId="77777777" w:rsidR="00543EE3" w:rsidRPr="007D0014" w:rsidRDefault="00543EE3" w:rsidP="00543EE3">
      <w:pPr>
        <w:pStyle w:val="3GPPHeader"/>
      </w:pPr>
    </w:p>
    <w:p w14:paraId="3BE1457C" w14:textId="77777777" w:rsidR="00543EE3" w:rsidRPr="007D0014" w:rsidRDefault="00543EE3" w:rsidP="00543EE3">
      <w:pPr>
        <w:pStyle w:val="3GPPHeader"/>
        <w:rPr>
          <w:sz w:val="22"/>
        </w:rPr>
      </w:pPr>
      <w:r w:rsidRPr="007D0014">
        <w:rPr>
          <w:sz w:val="22"/>
        </w:rPr>
        <w:t>Agenda Item:</w:t>
      </w:r>
      <w:r w:rsidRPr="007D0014">
        <w:rPr>
          <w:sz w:val="22"/>
        </w:rPr>
        <w:tab/>
        <w:t>7.2.2.1.1</w:t>
      </w:r>
    </w:p>
    <w:p w14:paraId="4C336BE1" w14:textId="74EA6F89" w:rsidR="00543EE3" w:rsidRPr="007D0014" w:rsidRDefault="00543EE3" w:rsidP="00543EE3">
      <w:pPr>
        <w:pStyle w:val="3GPPHeader"/>
        <w:rPr>
          <w:sz w:val="22"/>
        </w:rPr>
      </w:pPr>
      <w:r w:rsidRPr="007D0014">
        <w:rPr>
          <w:sz w:val="22"/>
        </w:rPr>
        <w:t>Source:</w:t>
      </w:r>
      <w:r w:rsidRPr="007D0014">
        <w:rPr>
          <w:sz w:val="22"/>
        </w:rPr>
        <w:tab/>
        <w:t>Ericsson</w:t>
      </w:r>
    </w:p>
    <w:p w14:paraId="6BBE7BAA" w14:textId="76711B27" w:rsidR="00543EE3" w:rsidRPr="007D0014" w:rsidRDefault="00543EE3" w:rsidP="00543EE3">
      <w:pPr>
        <w:pStyle w:val="3GPPHeader"/>
        <w:rPr>
          <w:sz w:val="22"/>
        </w:rPr>
      </w:pPr>
      <w:r w:rsidRPr="007D0014">
        <w:rPr>
          <w:sz w:val="22"/>
        </w:rPr>
        <w:t>Title:</w:t>
      </w:r>
      <w:r w:rsidRPr="007D0014">
        <w:rPr>
          <w:sz w:val="22"/>
        </w:rPr>
        <w:tab/>
        <w:t>Initial access signals and channels</w:t>
      </w:r>
    </w:p>
    <w:p w14:paraId="059B1C4D" w14:textId="45E61B96"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43D8E160" w:rsidR="00543EE3" w:rsidRPr="007D0014" w:rsidRDefault="00543EE3" w:rsidP="00543EE3">
      <w:pPr>
        <w:pStyle w:val="BodyText"/>
      </w:pPr>
      <w:r w:rsidRPr="0023797C">
        <w:t>In this contribution, we discuss the design of signals and channels for initial access for NR-U, specifically</w:t>
      </w:r>
    </w:p>
    <w:p w14:paraId="242319EC" w14:textId="191EC5BB"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59E50B5F" w:rsidR="00543EE3" w:rsidRDefault="00543EE3" w:rsidP="00141CF0">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7DC641F2" w14:textId="33A21340" w:rsidR="00D75C47" w:rsidRDefault="00D75C47" w:rsidP="00EA1E1A">
      <w:pPr>
        <w:pStyle w:val="Heading1"/>
      </w:pPr>
      <w:r>
        <w:t>2</w:t>
      </w:r>
      <w:r>
        <w:tab/>
        <w:t>DRS</w:t>
      </w:r>
      <w:r w:rsidR="008267E7">
        <w:t xml:space="preserve"> Design</w:t>
      </w:r>
    </w:p>
    <w:p w14:paraId="6929940D" w14:textId="52DF86C1" w:rsidR="00543EE3" w:rsidRDefault="00543EE3" w:rsidP="00543EE3">
      <w:pPr>
        <w:pStyle w:val="BodyText"/>
      </w:pPr>
      <w:r w:rsidRPr="0023797C">
        <w:t xml:space="preserve">In the SI phase </w:t>
      </w:r>
      <w:r>
        <w:fldChar w:fldCharType="begin"/>
      </w:r>
      <w:r w:rsidRPr="007D0014">
        <w:instrText xml:space="preserve"> REF _Ref534117348 \r \h </w:instrText>
      </w:r>
      <w:r>
        <w:fldChar w:fldCharType="separate"/>
      </w:r>
      <w:r w:rsidR="00C64C63">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p>
    <w:p w14:paraId="7D31E378" w14:textId="48B8EF48" w:rsidR="003D4906" w:rsidRDefault="00AA30CF" w:rsidP="00543EE3">
      <w:pPr>
        <w:pStyle w:val="BodyText"/>
      </w:pPr>
      <w:r>
        <w:t>In RAN1</w:t>
      </w:r>
      <w:r w:rsidR="001532CF">
        <w:t xml:space="preserve"> AH 1901, the following agreement was made:</w:t>
      </w:r>
    </w:p>
    <w:p w14:paraId="39E5B619" w14:textId="77777777" w:rsidR="001532CF" w:rsidRPr="001532CF" w:rsidRDefault="001532CF" w:rsidP="001532CF">
      <w:pPr>
        <w:overflowPunct/>
        <w:autoSpaceDE/>
        <w:autoSpaceDN/>
        <w:adjustRightInd/>
        <w:spacing w:after="0"/>
        <w:ind w:left="360"/>
        <w:textAlignment w:val="auto"/>
        <w:rPr>
          <w:rFonts w:ascii="Times" w:eastAsia="Batang" w:hAnsi="Times" w:cs="Times"/>
          <w:lang w:eastAsia="x-none"/>
        </w:rPr>
      </w:pPr>
      <w:r w:rsidRPr="001532CF">
        <w:rPr>
          <w:rFonts w:ascii="Times" w:eastAsia="Batang" w:hAnsi="Times" w:cs="Times"/>
          <w:b/>
          <w:highlight w:val="green"/>
          <w:lang w:eastAsia="x-none"/>
        </w:rPr>
        <w:t>Agreement</w:t>
      </w:r>
      <w:r w:rsidRPr="001532CF">
        <w:rPr>
          <w:rFonts w:ascii="Times" w:eastAsia="Batang" w:hAnsi="Times" w:cs="Times"/>
          <w:highlight w:val="green"/>
          <w:lang w:eastAsia="x-none"/>
        </w:rPr>
        <w:t>:</w:t>
      </w:r>
      <w:r w:rsidRPr="001532CF">
        <w:rPr>
          <w:rFonts w:ascii="Times" w:eastAsia="Batang" w:hAnsi="Times" w:cs="Times"/>
          <w:lang w:eastAsia="x-none"/>
        </w:rPr>
        <w:t xml:space="preserve"> </w:t>
      </w:r>
    </w:p>
    <w:p w14:paraId="3C87B2A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UE assumes 30KHz SCS for SS/PBCH block for 5GHz band and 6GHz band if the SCS is not indicated by higher layers.</w:t>
      </w:r>
    </w:p>
    <w:p w14:paraId="3CDD74C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Support configuration by higher layers of 15KHz or 30KHz SCS for SS/PBCH block</w:t>
      </w:r>
    </w:p>
    <w:p w14:paraId="16D5D468" w14:textId="77777777" w:rsidR="001532CF" w:rsidRPr="001532CF" w:rsidRDefault="001532CF" w:rsidP="00361438">
      <w:pPr>
        <w:numPr>
          <w:ilvl w:val="0"/>
          <w:numId w:val="17"/>
        </w:numPr>
        <w:overflowPunct/>
        <w:autoSpaceDE/>
        <w:autoSpaceDN/>
        <w:adjustRightInd/>
        <w:spacing w:after="120"/>
        <w:ind w:left="720"/>
        <w:textAlignment w:val="auto"/>
        <w:rPr>
          <w:rFonts w:ascii="Times" w:eastAsia="Batang" w:hAnsi="Times" w:cs="Times"/>
          <w:i/>
          <w:lang w:eastAsia="x-none"/>
        </w:rPr>
      </w:pPr>
      <w:r w:rsidRPr="001532CF">
        <w:rPr>
          <w:rFonts w:ascii="Times" w:eastAsia="Batang" w:hAnsi="Times" w:cs="Times"/>
          <w:i/>
          <w:lang w:eastAsia="x-none"/>
        </w:rPr>
        <w:t xml:space="preserve">Include this agreement in a LS to RAN4 (cc RAN2) for inclusion in specs managed by RAN4 </w:t>
      </w:r>
    </w:p>
    <w:p w14:paraId="5FA9D060" w14:textId="3CBC82C5" w:rsidR="00A60746" w:rsidRDefault="00A60746" w:rsidP="00543EE3">
      <w:pPr>
        <w:pStyle w:val="BodyText"/>
      </w:pPr>
      <w:r>
        <w:t>and in RAN1#96 the following was agreed:</w:t>
      </w:r>
    </w:p>
    <w:p w14:paraId="107295D7" w14:textId="77777777" w:rsidR="00A60746" w:rsidRDefault="00A60746" w:rsidP="00A60746">
      <w:pPr>
        <w:spacing w:after="0"/>
        <w:ind w:left="360"/>
        <w:rPr>
          <w:lang w:eastAsia="x-none"/>
        </w:rPr>
      </w:pPr>
      <w:r w:rsidRPr="00EA1E1A">
        <w:rPr>
          <w:b/>
          <w:highlight w:val="green"/>
          <w:lang w:eastAsia="x-none"/>
        </w:rPr>
        <w:t>Agreement</w:t>
      </w:r>
      <w:r w:rsidRPr="009B67E7">
        <w:rPr>
          <w:highlight w:val="green"/>
          <w:lang w:eastAsia="x-none"/>
        </w:rPr>
        <w:t>:</w:t>
      </w:r>
    </w:p>
    <w:p w14:paraId="16EB125B" w14:textId="77777777" w:rsidR="00A60746" w:rsidRDefault="00A60746" w:rsidP="00A60746">
      <w:pPr>
        <w:numPr>
          <w:ilvl w:val="0"/>
          <w:numId w:val="18"/>
        </w:numPr>
        <w:overflowPunct/>
        <w:autoSpaceDE/>
        <w:autoSpaceDN/>
        <w:adjustRightInd/>
        <w:spacing w:after="0"/>
        <w:ind w:left="720"/>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69398490" w14:textId="274CDE2E" w:rsidR="00A60746" w:rsidRDefault="00A60746" w:rsidP="00A60746">
      <w:pPr>
        <w:numPr>
          <w:ilvl w:val="0"/>
          <w:numId w:val="18"/>
        </w:numPr>
        <w:overflowPunct/>
        <w:autoSpaceDE/>
        <w:autoSpaceDN/>
        <w:adjustRightInd/>
        <w:spacing w:after="0"/>
        <w:ind w:left="720"/>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6F1A40C" w14:textId="77777777" w:rsidR="00A60746" w:rsidRDefault="00A60746" w:rsidP="00EA1E1A">
      <w:pPr>
        <w:overflowPunct/>
        <w:autoSpaceDE/>
        <w:autoSpaceDN/>
        <w:adjustRightInd/>
        <w:spacing w:after="0"/>
        <w:textAlignment w:val="auto"/>
      </w:pPr>
    </w:p>
    <w:p w14:paraId="7E9EFD10" w14:textId="55ECE7C8" w:rsidR="00754EE8" w:rsidRDefault="002E005A">
      <w:pPr>
        <w:pStyle w:val="BodyText"/>
      </w:pPr>
      <w:r>
        <w:t xml:space="preserve">These agreements </w:t>
      </w:r>
      <w:r w:rsidR="001532CF">
        <w:t>state that for the case of initial access in a standalone deployment, the UE may assume the SS/PBCH block subcarrier spacing is 30 kHz</w:t>
      </w:r>
      <w:r w:rsidR="004A276A">
        <w:t>. F</w:t>
      </w:r>
      <w:r>
        <w:t>urthermore, the subcarrier spacing for the Type0-PDCCH CSS (corresponding to CORSET0) that schedules RMSI is restricted to the same SCS, i.e., 30 kHz</w:t>
      </w:r>
      <w:r w:rsidR="00A60746">
        <w:t xml:space="preserve">. </w:t>
      </w:r>
      <w:r w:rsidR="001532CF">
        <w:t>With th</w:t>
      </w:r>
      <w:r>
        <w:t>ese</w:t>
      </w:r>
      <w:r w:rsidR="001532CF">
        <w:t xml:space="preserve"> agreement</w:t>
      </w:r>
      <w:r>
        <w:t>s</w:t>
      </w:r>
      <w:r w:rsidR="001532CF">
        <w:t>, we consider what changes are needed to NR-Rel-15 in order to achieve efficient multiplexing of SS/PBCH block(s) and RMSI PDCCH/PDSCH in a DRS</w:t>
      </w:r>
      <w:r w:rsidR="00361438">
        <w:t xml:space="preserve"> assuming 30 kHz SCS</w:t>
      </w:r>
      <w:r w:rsidR="001532CF">
        <w:t xml:space="preserve">. </w:t>
      </w:r>
      <w:r w:rsidR="00166DB7">
        <w:t>In t</w:t>
      </w:r>
      <w:r w:rsidR="00FC193D">
        <w:t>he following discussion, t</w:t>
      </w:r>
      <w:r w:rsidR="00FE789E">
        <w:t>he</w:t>
      </w:r>
      <w:r w:rsidR="00754EE8">
        <w:t xml:space="preserve"> number of REs available for PDSCH carrying SIB1 </w:t>
      </w:r>
      <w:r>
        <w:t xml:space="preserve">(RMSI) </w:t>
      </w:r>
      <w:r w:rsidR="00754EE8">
        <w:t>considering the various multiplexing rules for SS/PBCH blocks, PDCCH, PDSCH, and DM</w:t>
      </w:r>
      <w:r w:rsidR="00E8630D">
        <w:t>-</w:t>
      </w:r>
      <w:r w:rsidR="00754EE8">
        <w:t xml:space="preserve">RS that exist </w:t>
      </w:r>
      <w:r>
        <w:t xml:space="preserve">in the Rel-15 specifications </w:t>
      </w:r>
      <w:r w:rsidR="00754EE8">
        <w:t>today</w:t>
      </w:r>
      <w:r w:rsidR="00FE789E">
        <w:t xml:space="preserve"> </w:t>
      </w:r>
      <w:r w:rsidR="00FC193D">
        <w:t>will be</w:t>
      </w:r>
      <w:r w:rsidR="00FE789E">
        <w:t xml:space="preserve"> considered</w:t>
      </w:r>
      <w:r w:rsidR="00754EE8">
        <w:t>.</w:t>
      </w:r>
    </w:p>
    <w:p w14:paraId="701E82E7" w14:textId="7C84CC2E" w:rsidR="00886398" w:rsidRDefault="001759B1" w:rsidP="00543EE3">
      <w:pPr>
        <w:pStyle w:val="BodyText"/>
      </w:pPr>
      <w:r>
        <w:t>The PDSCH carrying</w:t>
      </w:r>
      <w:r w:rsidR="00853D82">
        <w:t xml:space="preserve"> </w:t>
      </w:r>
      <w:r w:rsidR="00361438">
        <w:t>SIB1 is scheduled by</w:t>
      </w:r>
      <w:r w:rsidR="00754EE8">
        <w:t xml:space="preserve"> DCI format 1_0 where the CRC is scrambled by SI-RNTI and where the System Information Indicator field in DCI is set to 0.</w:t>
      </w:r>
      <w:r>
        <w:t xml:space="preserve"> We observe that for such scheduling, only Type </w:t>
      </w:r>
      <w:r w:rsidR="007A1382">
        <w:t xml:space="preserve">1 </w:t>
      </w:r>
      <w:r>
        <w:t xml:space="preserve">resource allocation in the frequency domain is supported, i.e., PDSCH occupies a set of contiguous resource blocks (RBs). Furthermore, the set of contiguous RBs </w:t>
      </w:r>
      <w:r w:rsidR="002E005A">
        <w:t xml:space="preserve">are located </w:t>
      </w:r>
      <w:r>
        <w:t>within the same bandwidth of CORESET0.</w:t>
      </w:r>
    </w:p>
    <w:p w14:paraId="58EDBBC2" w14:textId="0D99E977" w:rsidR="007B0A1F" w:rsidRDefault="007B0A1F" w:rsidP="007B0A1F">
      <w:pPr>
        <w:pStyle w:val="Observation"/>
      </w:pPr>
      <w:bookmarkStart w:id="2" w:name="_Toc972470"/>
      <w:bookmarkStart w:id="3" w:name="_Toc973387"/>
      <w:bookmarkStart w:id="4" w:name="_Toc973521"/>
      <w:bookmarkStart w:id="5" w:name="_Toc973856"/>
      <w:bookmarkStart w:id="6" w:name="_Toc974197"/>
      <w:bookmarkStart w:id="7" w:name="_Toc976223"/>
      <w:bookmarkStart w:id="8" w:name="_Toc4604722"/>
      <w:bookmarkStart w:id="9" w:name="_Toc4607281"/>
      <w:bookmarkStart w:id="10" w:name="_Toc4612010"/>
      <w:bookmarkStart w:id="11" w:name="_Toc4616409"/>
      <w:bookmarkStart w:id="12" w:name="_Toc7546210"/>
      <w:bookmarkStart w:id="13" w:name="_Toc7551048"/>
      <w:bookmarkStart w:id="14" w:name="_Toc7551109"/>
      <w:bookmarkStart w:id="15" w:name="_Toc7553294"/>
      <w:bookmarkStart w:id="16" w:name="_Toc16627367"/>
      <w:bookmarkStart w:id="17" w:name="_Toc16883195"/>
      <w:bookmarkStart w:id="18" w:name="_Toc16883406"/>
      <w:bookmarkStart w:id="19" w:name="_Toc16884163"/>
      <w:r>
        <w:t>DCI format 1_0 used to schedule PDSCH carrying SIB1 supports only Type</w:t>
      </w:r>
      <w:r w:rsidR="0011356A">
        <w:t>1</w:t>
      </w:r>
      <w:r w:rsidR="00603A16">
        <w:t xml:space="preserve"> PDSCH</w:t>
      </w:r>
      <w:r>
        <w:t xml:space="preserve"> resource allocation (contiguous RBs) in the frequency domain</w:t>
      </w:r>
      <w:r w:rsidR="0030777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232EADA7" w14:textId="52BFE290" w:rsidR="00E97F5D" w:rsidRPr="00D33BE7" w:rsidRDefault="00754EE8" w:rsidP="000F39C0">
      <w:r w:rsidRPr="000F39C0">
        <w:rPr>
          <w:rFonts w:ascii="Arial" w:hAnsi="Arial"/>
          <w:lang w:eastAsia="zh-CN"/>
        </w:rPr>
        <w:t xml:space="preserve">In what follows, we adhere to </w:t>
      </w:r>
      <w:r w:rsidR="001759B1" w:rsidRPr="000F39C0">
        <w:rPr>
          <w:rFonts w:ascii="Arial" w:hAnsi="Arial"/>
          <w:lang w:eastAsia="zh-CN"/>
        </w:rPr>
        <w:t xml:space="preserve">this </w:t>
      </w:r>
      <w:r w:rsidRPr="000F39C0">
        <w:rPr>
          <w:rFonts w:ascii="Arial" w:hAnsi="Arial"/>
          <w:lang w:eastAsia="zh-CN"/>
        </w:rPr>
        <w:t xml:space="preserve">constraint </w:t>
      </w:r>
      <w:proofErr w:type="gramStart"/>
      <w:r w:rsidRPr="000F39C0">
        <w:rPr>
          <w:rFonts w:ascii="Arial" w:hAnsi="Arial"/>
          <w:lang w:eastAsia="zh-CN"/>
        </w:rPr>
        <w:t>so as to</w:t>
      </w:r>
      <w:proofErr w:type="gramEnd"/>
      <w:r w:rsidRPr="000F39C0">
        <w:rPr>
          <w:rFonts w:ascii="Arial" w:hAnsi="Arial"/>
          <w:lang w:eastAsia="zh-CN"/>
        </w:rPr>
        <w:t xml:space="preserve"> avoid introducing a new DCI format</w:t>
      </w:r>
      <w:r w:rsidR="00307772" w:rsidRPr="000F39C0">
        <w:rPr>
          <w:rFonts w:ascii="Arial" w:hAnsi="Arial"/>
          <w:lang w:eastAsia="zh-CN"/>
        </w:rPr>
        <w:t xml:space="preserve"> for scheduling SIB1.</w:t>
      </w:r>
    </w:p>
    <w:p w14:paraId="4D866F02" w14:textId="28794825" w:rsidR="001532CF" w:rsidRPr="000F39C0" w:rsidRDefault="00361438" w:rsidP="00EA1E1A">
      <w:pPr>
        <w:pStyle w:val="Heading2"/>
        <w:rPr>
          <w:lang w:val="en-US"/>
        </w:rPr>
      </w:pPr>
      <w:bookmarkStart w:id="20" w:name="_Ref16667305"/>
      <w:r w:rsidRPr="000F39C0">
        <w:rPr>
          <w:lang w:val="en-US"/>
        </w:rPr>
        <w:lastRenderedPageBreak/>
        <w:t>2.1</w:t>
      </w:r>
      <w:r w:rsidRPr="000F39C0">
        <w:rPr>
          <w:lang w:val="en-US"/>
        </w:rPr>
        <w:tab/>
      </w:r>
      <w:r w:rsidR="00AD317A" w:rsidRPr="009048DE">
        <w:rPr>
          <w:lang w:val="en-US"/>
        </w:rPr>
        <w:t xml:space="preserve">Frequency Domain Position of </w:t>
      </w:r>
      <w:r w:rsidRPr="000F39C0">
        <w:rPr>
          <w:lang w:val="en-US"/>
        </w:rPr>
        <w:t>SS/PBCH Block</w:t>
      </w:r>
      <w:r w:rsidR="00205717" w:rsidRPr="000F39C0">
        <w:rPr>
          <w:lang w:val="en-US"/>
        </w:rPr>
        <w:t xml:space="preserve"> </w:t>
      </w:r>
      <w:r w:rsidR="00AD317A" w:rsidRPr="009048DE">
        <w:rPr>
          <w:lang w:val="en-US"/>
        </w:rPr>
        <w:t>i</w:t>
      </w:r>
      <w:r w:rsidR="00205717" w:rsidRPr="000F39C0">
        <w:rPr>
          <w:lang w:val="en-US"/>
        </w:rPr>
        <w:t>n DRS</w:t>
      </w:r>
      <w:bookmarkEnd w:id="20"/>
    </w:p>
    <w:p w14:paraId="607BF4BA" w14:textId="08C403A8" w:rsidR="004A276A" w:rsidRDefault="00FC193D" w:rsidP="00D92336">
      <w:pPr>
        <w:pStyle w:val="BodyText"/>
      </w:pPr>
      <w:r>
        <w:t xml:space="preserve">In RAN#97 </w:t>
      </w:r>
      <w:r w:rsidR="00F23AAF">
        <w:t>various</w:t>
      </w:r>
      <w:r>
        <w:t xml:space="preserve"> SS/PBCH and Type0-PDCCH placement alternatives were discussed</w:t>
      </w:r>
      <w:r w:rsidR="00F23AAF">
        <w:t xml:space="preserve"> </w:t>
      </w:r>
      <w:r w:rsidR="00F23AAF">
        <w:fldChar w:fldCharType="begin"/>
      </w:r>
      <w:r w:rsidR="00F23AAF">
        <w:instrText xml:space="preserve"> REF _Ref16882586 \r \h </w:instrText>
      </w:r>
      <w:r w:rsidR="00F23AAF">
        <w:fldChar w:fldCharType="separate"/>
      </w:r>
      <w:r w:rsidR="00C64C63">
        <w:t>[2]</w:t>
      </w:r>
      <w:r w:rsidR="00F23AAF">
        <w:fldChar w:fldCharType="end"/>
      </w:r>
      <w:r>
        <w:t>.</w:t>
      </w:r>
      <w:r w:rsidR="00F23AAF">
        <w:t xml:space="preserve"> </w:t>
      </w:r>
      <w:r w:rsidR="00CF0DE3">
        <w:t xml:space="preserve">In </w:t>
      </w:r>
      <w:r w:rsidR="008016E0">
        <w:t>that</w:t>
      </w:r>
      <w:r w:rsidR="00CF0DE3">
        <w:t xml:space="preserve"> meeting,</w:t>
      </w:r>
      <w:r>
        <w:t xml:space="preserve"> </w:t>
      </w:r>
      <w:r w:rsidR="00CF0DE3">
        <w:t>i</w:t>
      </w:r>
      <w:r>
        <w:t xml:space="preserve">t was </w:t>
      </w:r>
      <w:r w:rsidR="0033690A">
        <w:t>concluded that no consensus could be reached regarding placement of second SS/PBCH in a slot and no more scheduled discussions will be conducted on this topic</w:t>
      </w:r>
      <w:r>
        <w:t>. Hence,</w:t>
      </w:r>
      <w:r w:rsidR="0033690A">
        <w:t xml:space="preserve"> the </w:t>
      </w:r>
      <w:r w:rsidR="00F23AAF">
        <w:t>primary</w:t>
      </w:r>
      <w:r w:rsidR="0033690A">
        <w:t xml:space="preserve"> DRS option now </w:t>
      </w:r>
      <w:r w:rsidR="00F23AAF">
        <w:t>consists</w:t>
      </w:r>
      <w:r w:rsidR="0033690A">
        <w:t xml:space="preserve"> of one SS/PBCH block, one CORESET for Type0-PDCCH monitoring and the associated PDSCH for SIB1</w:t>
      </w:r>
      <w:r w:rsidR="006561D7">
        <w:t xml:space="preserve"> per slot</w:t>
      </w:r>
      <w:r w:rsidR="0033690A">
        <w:t xml:space="preserve">. </w:t>
      </w:r>
      <w:r w:rsidR="004A276A">
        <w:t>In FR1 deployments, a typical configuration consists of a single, non-beamformed SSB</w:t>
      </w:r>
      <w:r w:rsidR="009645BD">
        <w:t xml:space="preserve">, which is in line with </w:t>
      </w:r>
      <w:r w:rsidR="00F23AAF">
        <w:t>this</w:t>
      </w:r>
      <w:r w:rsidR="009645BD">
        <w:t xml:space="preserve"> </w:t>
      </w:r>
      <w:r w:rsidR="00F23AAF">
        <w:t>primary</w:t>
      </w:r>
      <w:r w:rsidR="009645BD">
        <w:t xml:space="preserve"> DRS option</w:t>
      </w:r>
      <w:r w:rsidR="004A276A">
        <w:t xml:space="preserve">. </w:t>
      </w:r>
      <w:r w:rsidR="00322485">
        <w:t xml:space="preserve">In order to avoid time gaps in the DRS pattern, it is beneficial to multiplex the SS/PBCH block and the PDSCH carrying SIB1 in the frequency domain. Furthermore, in order to adhere to the contiguous resource allocation for PDSCH signalled by DCI Format 1_0 and at the same time maximize the number of REs available for SIB1, it is beneficial to locate the SS/PBCH block </w:t>
      </w:r>
      <w:r w:rsidR="0033690A">
        <w:t>near the</w:t>
      </w:r>
      <w:r w:rsidR="00322485">
        <w:t xml:space="preserve"> edge of the initial BWP. Such a configuration is illustrated in </w:t>
      </w:r>
      <w:r w:rsidR="00184B97">
        <w:fldChar w:fldCharType="begin"/>
      </w:r>
      <w:r w:rsidR="00184B97">
        <w:instrText xml:space="preserve"> REF _Ref881006 \h </w:instrText>
      </w:r>
      <w:r w:rsidR="00184B97">
        <w:fldChar w:fldCharType="separate"/>
      </w:r>
      <w:r w:rsidR="00C64C63">
        <w:t xml:space="preserve">Figure </w:t>
      </w:r>
      <w:r w:rsidR="00C64C63">
        <w:rPr>
          <w:noProof/>
        </w:rPr>
        <w:t>1</w:t>
      </w:r>
      <w:r w:rsidR="00184B97">
        <w:fldChar w:fldCharType="end"/>
      </w:r>
      <w:r w:rsidR="00C2002F">
        <w:t>, and referred to as Option 1a in this contribution</w:t>
      </w:r>
      <w:r w:rsidR="00184B97">
        <w:t>.</w:t>
      </w:r>
      <w:r w:rsidR="00F23AAF">
        <w:t xml:space="preserve"> A sync raster design that allows this placement is presented in our RAN4 paper on the topic </w:t>
      </w:r>
      <w:r w:rsidR="00E04648">
        <w:fldChar w:fldCharType="begin"/>
      </w:r>
      <w:r w:rsidR="00E04648">
        <w:instrText xml:space="preserve"> REF _Ref16883170 \r \h </w:instrText>
      </w:r>
      <w:r w:rsidR="00E04648">
        <w:fldChar w:fldCharType="separate"/>
      </w:r>
      <w:r w:rsidR="00C64C63">
        <w:t>[3]</w:t>
      </w:r>
      <w:r w:rsidR="00E04648">
        <w:fldChar w:fldCharType="end"/>
      </w:r>
      <w:r w:rsidR="00F23AAF">
        <w:t>.</w:t>
      </w:r>
    </w:p>
    <w:p w14:paraId="610C8353" w14:textId="4E81D0EF" w:rsidR="004A276A" w:rsidRDefault="002F788A" w:rsidP="00D92336">
      <w:pPr>
        <w:pStyle w:val="BodyText"/>
      </w:pPr>
      <w:r>
        <w:t xml:space="preserve">This </w:t>
      </w:r>
      <w:r w:rsidR="004A276A">
        <w:t xml:space="preserve">diagram </w:t>
      </w:r>
      <w:r>
        <w:t xml:space="preserve">assumes that the SS/PBCH block </w:t>
      </w:r>
      <w:proofErr w:type="gramStart"/>
      <w:r>
        <w:t>is located in</w:t>
      </w:r>
      <w:proofErr w:type="gramEnd"/>
      <w:r>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approach may be used for a single symbol search space in which case the PDSCH allocation would start in OFDM symbol 1.</w:t>
      </w:r>
    </w:p>
    <w:p w14:paraId="2E889FED" w14:textId="6F4DE4B8" w:rsidR="00603A16" w:rsidRDefault="000A5AFB" w:rsidP="00D92336">
      <w:pPr>
        <w:pStyle w:val="BodyText"/>
        <w:rPr>
          <w:color w:val="000000"/>
        </w:rPr>
      </w:pPr>
      <w:r>
        <w:t xml:space="preserve">The time domain PDSCH allocation is indicated by the 4-bit field of DCI Format 1_0 that indicates a row of the </w:t>
      </w:r>
      <w:r w:rsidRPr="0020468D">
        <w:rPr>
          <w:color w:val="000000"/>
        </w:rPr>
        <w:t>Table 5.1.2.1.1-2</w:t>
      </w:r>
      <w:r>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C64C63">
        <w:rPr>
          <w:color w:val="000000"/>
        </w:rPr>
        <w:t>[6]</w:t>
      </w:r>
      <w:r w:rsidR="000B4707">
        <w:rPr>
          <w:color w:val="000000"/>
        </w:rPr>
        <w:fldChar w:fldCharType="end"/>
      </w:r>
      <w:r>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09B71F83" w14:textId="710A89F6" w:rsidR="00D92336" w:rsidRDefault="004A276A" w:rsidP="00D92336">
      <w:pPr>
        <w:pStyle w:val="BodyText"/>
      </w:pPr>
      <w:r>
        <w:t xml:space="preserve">In line with the above agreement, the diagram shows that the bandwidth of CORESET0 (initial BWP) is 48 PRBs. </w:t>
      </w:r>
      <w:r w:rsidR="00E97ED4">
        <w:t xml:space="preserve">Assuming a PDSCH contiguous bandwidth of 28 PRBs </w:t>
      </w:r>
      <w:r w:rsidR="008D3FA0">
        <w:t xml:space="preserve">(CORSET0 BW - SS/PBCH block BW) </w:t>
      </w:r>
      <w:r w:rsidR="00E97ED4">
        <w:t>and a</w:t>
      </w:r>
      <w:r w:rsidR="002F788A">
        <w:t xml:space="preserve">ccounting for the </w:t>
      </w:r>
      <w:r w:rsidR="00E97ED4">
        <w:t xml:space="preserve">3 </w:t>
      </w:r>
      <w:r w:rsidR="002F788A">
        <w:t>OFDM symbols used for DM</w:t>
      </w:r>
      <w:r w:rsidR="00E8630D">
        <w:t>-</w:t>
      </w:r>
      <w:r w:rsidR="002F788A">
        <w:t>RS</w:t>
      </w:r>
      <w:r w:rsidR="00E97ED4">
        <w:t>, the number of available REs for PDSCH carrying SIB1 is 3024</w:t>
      </w:r>
      <w:r w:rsidR="00603A16">
        <w:t xml:space="preserve"> for the case of a 2-symbol search space</w:t>
      </w:r>
      <w:r w:rsidR="00E97ED4">
        <w:t>. Assuming the most robust MCS is used for SIB1 transmission</w:t>
      </w:r>
      <w:r w:rsidR="005B6351">
        <w:t xml:space="preserve"> (MCS0)</w:t>
      </w:r>
      <w:r w:rsidR="00E97ED4">
        <w:t>, the SIB1 information bit payload is 708 bits.</w:t>
      </w:r>
    </w:p>
    <w:p w14:paraId="45C710DC" w14:textId="5230270B" w:rsidR="00184B97" w:rsidRDefault="002F788A" w:rsidP="00184B97">
      <w:pPr>
        <w:pStyle w:val="BodyText"/>
        <w:keepNext/>
        <w:jc w:val="center"/>
      </w:pPr>
      <w:r w:rsidRPr="002F788A">
        <w:rPr>
          <w:noProof/>
        </w:rPr>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7CD9F195" w:rsidR="00322485" w:rsidRDefault="00184B97" w:rsidP="00184B97">
      <w:pPr>
        <w:pStyle w:val="Caption"/>
        <w:jc w:val="center"/>
        <w:rPr>
          <w:noProof/>
        </w:rPr>
      </w:pPr>
      <w:bookmarkStart w:id="21"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C64C63">
        <w:rPr>
          <w:noProof/>
        </w:rPr>
        <w:t>1</w:t>
      </w:r>
      <w:r w:rsidR="00642536">
        <w:rPr>
          <w:noProof/>
        </w:rPr>
        <w:fldChar w:fldCharType="end"/>
      </w:r>
      <w:bookmarkEnd w:id="21"/>
      <w:r>
        <w:t xml:space="preserve">: DRS with FDM multiplexing </w:t>
      </w:r>
      <w:r>
        <w:rPr>
          <w:noProof/>
        </w:rPr>
        <w:t>PDSCH carrying SIB1 and a single SS/PBCH block</w:t>
      </w:r>
      <w:r w:rsidR="005F4BA4">
        <w:rPr>
          <w:noProof/>
        </w:rPr>
        <w:t xml:space="preserve"> with 0 RB offset between CORESET0 and the SS/PBCH block</w:t>
      </w:r>
      <w:r w:rsidR="00C2002F">
        <w:rPr>
          <w:noProof/>
        </w:rPr>
        <w:t>, Option 1a</w:t>
      </w:r>
      <w:r w:rsidR="005F4BA4">
        <w:rPr>
          <w:noProof/>
        </w:rPr>
        <w:t>.</w:t>
      </w:r>
    </w:p>
    <w:p w14:paraId="57AF3339" w14:textId="771A48D6" w:rsidR="002F788A" w:rsidRDefault="002F788A" w:rsidP="002F788A">
      <w:pPr>
        <w:pStyle w:val="BodyText"/>
      </w:pPr>
      <w:r>
        <w:t>The only new aspect of this configuration</w:t>
      </w:r>
      <w:r w:rsidR="00A51457">
        <w:t xml:space="preserve"> compared to NR Rel-15</w:t>
      </w:r>
      <w:r>
        <w:t xml:space="preserve"> is that the SS/PBCH block is located </w:t>
      </w:r>
      <w:r w:rsidR="00E73767">
        <w:t>near</w:t>
      </w:r>
      <w:r>
        <w:t xml:space="preserve"> the edge of the initial BWP which implies an offset of 0 RBs in Table </w:t>
      </w:r>
      <w:r w:rsidR="00660FD0">
        <w:t>1</w:t>
      </w:r>
      <w:r>
        <w:t xml:space="preserve">3-4 of </w:t>
      </w:r>
      <w:r w:rsidR="000B4707">
        <w:fldChar w:fldCharType="begin"/>
      </w:r>
      <w:r w:rsidR="000B4707">
        <w:instrText xml:space="preserve"> REF _Ref534892220 \r \h </w:instrText>
      </w:r>
      <w:r w:rsidR="000B4707">
        <w:fldChar w:fldCharType="separate"/>
      </w:r>
      <w:r w:rsidR="00C64C63">
        <w:t>[5]</w:t>
      </w:r>
      <w:r w:rsidR="000B4707">
        <w:fldChar w:fldCharType="end"/>
      </w:r>
      <w:r>
        <w:t xml:space="preserve">. </w:t>
      </w:r>
      <w:r w:rsidR="00E97ED4">
        <w:t>In Rel-15,</w:t>
      </w:r>
      <w:r>
        <w:t xml:space="preserve"> only offsets of 12, 14, and 16 PRBs are supported </w:t>
      </w:r>
      <w:r w:rsidR="00660FD0">
        <w:t xml:space="preserve">for a 48 PRB CORESET0 </w:t>
      </w:r>
      <w:r>
        <w:t xml:space="preserve">which means that the SS/PBCH block would </w:t>
      </w:r>
      <w:proofErr w:type="gramStart"/>
      <w:r>
        <w:t>be located in</w:t>
      </w:r>
      <w:proofErr w:type="gramEnd"/>
      <w:r>
        <w:t xml:space="preserve"> approximately the middle of the initial BWP. The problem with this is that </w:t>
      </w:r>
      <w:r w:rsidR="00E97ED4">
        <w:t xml:space="preserve">it would reduce the number of SIB1 payload bits by roughly 50% </w:t>
      </w:r>
      <w:r w:rsidR="00603A16">
        <w:t xml:space="preserve">to ~350 bits, </w:t>
      </w:r>
      <w:r w:rsidR="00E97ED4">
        <w:t>since only contiguous resource allocation for PDSCH is supported in DCI Format 1_0. Clearly, there is a benefit to extending the configurability of the offset</w:t>
      </w:r>
      <w:r w:rsidR="00603A16">
        <w:t xml:space="preserve"> to maximize SIB</w:t>
      </w:r>
      <w:r w:rsidR="00A51457">
        <w:t>1</w:t>
      </w:r>
      <w:r w:rsidR="00603A16">
        <w:t xml:space="preserve"> payload.</w:t>
      </w:r>
    </w:p>
    <w:p w14:paraId="69035844" w14:textId="3D39892E" w:rsidR="00F308AB" w:rsidRDefault="0013266D" w:rsidP="002F788A">
      <w:pPr>
        <w:pStyle w:val="BodyText"/>
      </w:pPr>
      <w:r>
        <w:t xml:space="preserve">Another </w:t>
      </w:r>
      <w:r w:rsidR="00F308AB">
        <w:t xml:space="preserve">option of SIB1 allocation in the same slot as the SS/PBCH block is shown in </w:t>
      </w:r>
      <w:r w:rsidR="00D76ADA">
        <w:fldChar w:fldCharType="begin"/>
      </w:r>
      <w:r w:rsidR="00D76ADA">
        <w:instrText xml:space="preserve"> REF _Ref16067128 \h </w:instrText>
      </w:r>
      <w:r w:rsidR="00D76ADA">
        <w:fldChar w:fldCharType="separate"/>
      </w:r>
      <w:r w:rsidR="00C64C63">
        <w:t xml:space="preserve">Figure </w:t>
      </w:r>
      <w:r w:rsidR="00C64C63">
        <w:rPr>
          <w:noProof/>
        </w:rPr>
        <w:t>2</w:t>
      </w:r>
      <w:r w:rsidR="00D76ADA">
        <w:fldChar w:fldCharType="end"/>
      </w:r>
      <w:r w:rsidR="00C2002F">
        <w:t>, referred to as Option 1b</w:t>
      </w:r>
      <w:r w:rsidR="00F308AB">
        <w:t xml:space="preserve">. With this option, there is no need to place the SS/PBCH block </w:t>
      </w:r>
      <w:r w:rsidR="00E73767">
        <w:t>near</w:t>
      </w:r>
      <w:r w:rsidR="00F308AB">
        <w:t xml:space="preserve"> the channel edge. On the other hand, this option will require specification changes in terms of new starting position in Default table A and that </w:t>
      </w:r>
      <w:proofErr w:type="spellStart"/>
      <w:r w:rsidR="00F308AB">
        <w:t>TypeB</w:t>
      </w:r>
      <w:proofErr w:type="spellEnd"/>
      <w:r w:rsidR="00F308AB">
        <w:t xml:space="preserve"> mapping of length 8 is a mandatory length for the UE to support. Since the specification impact with </w:t>
      </w:r>
      <w:r w:rsidR="00E73767">
        <w:t>Option 1a (</w:t>
      </w:r>
      <w:r w:rsidR="00D76ADA">
        <w:fldChar w:fldCharType="begin"/>
      </w:r>
      <w:r w:rsidR="00D76ADA">
        <w:instrText xml:space="preserve"> REF _Ref881006 \h </w:instrText>
      </w:r>
      <w:r w:rsidR="00D76ADA">
        <w:fldChar w:fldCharType="separate"/>
      </w:r>
      <w:r w:rsidR="00C64C63">
        <w:t xml:space="preserve">Figure </w:t>
      </w:r>
      <w:r w:rsidR="00C64C63">
        <w:rPr>
          <w:noProof/>
        </w:rPr>
        <w:t>1</w:t>
      </w:r>
      <w:r w:rsidR="00D76ADA">
        <w:fldChar w:fldCharType="end"/>
      </w:r>
      <w:r w:rsidR="00E73767">
        <w:t>)</w:t>
      </w:r>
      <w:r w:rsidR="00F308AB">
        <w:t xml:space="preserve"> are less, it is judged to be the most beneficial solution. </w:t>
      </w:r>
    </w:p>
    <w:p w14:paraId="19BEB29A" w14:textId="6AD94A88" w:rsidR="00F308AB" w:rsidRDefault="00C27215" w:rsidP="00D655E6">
      <w:pPr>
        <w:pStyle w:val="BodyText"/>
        <w:ind w:firstLine="567"/>
      </w:pPr>
      <w:r w:rsidRPr="00C27215">
        <w:rPr>
          <w:noProof/>
        </w:rPr>
        <w:lastRenderedPageBreak/>
        <w:drawing>
          <wp:inline distT="0" distB="0" distL="0" distR="0" wp14:anchorId="5D87C774" wp14:editId="75D4EF1C">
            <wp:extent cx="4981575" cy="13172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3536" cy="1323050"/>
                    </a:xfrm>
                    <a:prstGeom prst="rect">
                      <a:avLst/>
                    </a:prstGeom>
                    <a:noFill/>
                    <a:ln>
                      <a:noFill/>
                    </a:ln>
                  </pic:spPr>
                </pic:pic>
              </a:graphicData>
            </a:graphic>
          </wp:inline>
        </w:drawing>
      </w:r>
    </w:p>
    <w:p w14:paraId="14629291" w14:textId="002DA838" w:rsidR="00F308AB" w:rsidRDefault="00F308AB" w:rsidP="00D655E6">
      <w:pPr>
        <w:pStyle w:val="Caption"/>
      </w:pPr>
      <w:bookmarkStart w:id="22" w:name="_Ref16067128"/>
      <w:r>
        <w:t xml:space="preserve">Figure </w:t>
      </w:r>
      <w:fldSimple w:instr=" SEQ Figure \* ARABIC ">
        <w:r w:rsidR="00C64C63">
          <w:rPr>
            <w:noProof/>
          </w:rPr>
          <w:t>2</w:t>
        </w:r>
      </w:fldSimple>
      <w:bookmarkEnd w:id="22"/>
      <w:r>
        <w:t xml:space="preserve">: DRS with </w:t>
      </w:r>
      <w:r w:rsidR="0057015F">
        <w:t>TDM</w:t>
      </w:r>
      <w:r>
        <w:t xml:space="preserve"> multiplexing PDSCH carrying SIB1 and a single SS/PBCH block. The SS/PBCH block can be located at channel edge </w:t>
      </w:r>
      <w:r w:rsidR="00B00ECD">
        <w:t>or</w:t>
      </w:r>
      <w:r>
        <w:t xml:space="preserve"> </w:t>
      </w:r>
      <w:r w:rsidR="00B00ECD">
        <w:t>the</w:t>
      </w:r>
      <w:r>
        <w:t xml:space="preserve"> channel </w:t>
      </w:r>
      <w:proofErr w:type="spellStart"/>
      <w:r>
        <w:t>center</w:t>
      </w:r>
      <w:proofErr w:type="spellEnd"/>
      <w:r w:rsidR="00C2002F">
        <w:t>, Option 1b</w:t>
      </w:r>
      <w:r>
        <w:t xml:space="preserve">. </w:t>
      </w:r>
    </w:p>
    <w:p w14:paraId="7763D17B" w14:textId="4DA3263F" w:rsidR="00AD5841" w:rsidRDefault="00542233" w:rsidP="00D655E6">
      <w:pPr>
        <w:pStyle w:val="Proposal"/>
      </w:pPr>
      <w:bookmarkStart w:id="23" w:name="_Ref7728030"/>
      <w:bookmarkStart w:id="24" w:name="_Ref959332"/>
      <w:bookmarkStart w:id="25" w:name="_Toc16884165"/>
      <w:r>
        <w:t xml:space="preserve">For CORESET0 bandwidth of 48 PRBs and </w:t>
      </w:r>
      <w:r w:rsidRPr="00B916EC">
        <w:t xml:space="preserve">{SS/PBCH block, PDCCH} </w:t>
      </w:r>
      <w:r>
        <w:t>SCS</w:t>
      </w:r>
      <w:r w:rsidRPr="00B916EC">
        <w:t xml:space="preserve"> </w:t>
      </w:r>
      <w:r>
        <w:t xml:space="preserve">of </w:t>
      </w:r>
      <w:r w:rsidRPr="00B916EC">
        <w:t>{30, 30} kHz</w:t>
      </w:r>
      <w:r>
        <w:t xml:space="preserve"> support </w:t>
      </w:r>
      <w:r w:rsidR="00E04648">
        <w:t>[0 and 1] PRB</w:t>
      </w:r>
      <w:r>
        <w:t xml:space="preserve"> offset between CORESET0 and SS/PBCH blocks</w:t>
      </w:r>
      <w:bookmarkEnd w:id="23"/>
      <w:bookmarkEnd w:id="24"/>
      <w:r w:rsidR="00E04648">
        <w:t>.</w:t>
      </w:r>
      <w:bookmarkEnd w:id="25"/>
    </w:p>
    <w:p w14:paraId="2DDBCE4C" w14:textId="4A3F0C68" w:rsidR="00AB65A8" w:rsidRDefault="00AB65A8" w:rsidP="00EA1E1A">
      <w:pPr>
        <w:pStyle w:val="Heading2"/>
      </w:pPr>
      <w:r>
        <w:t>2.</w:t>
      </w:r>
      <w:r w:rsidR="00745C8B">
        <w:t>2</w:t>
      </w:r>
      <w:r>
        <w:tab/>
      </w:r>
      <w:r w:rsidR="00C87E19">
        <w:t>R</w:t>
      </w:r>
      <w:r>
        <w:t xml:space="preserve">ate </w:t>
      </w:r>
      <w:r w:rsidR="00C87E19">
        <w:t>M</w:t>
      </w:r>
      <w:r>
        <w:t xml:space="preserve">atching </w:t>
      </w:r>
      <w:r w:rsidR="00C87E19">
        <w:t>A</w:t>
      </w:r>
      <w:r>
        <w:t>ssumptions</w:t>
      </w:r>
      <w:r w:rsidR="00C87E19">
        <w:t xml:space="preserve"> for </w:t>
      </w:r>
      <w:r w:rsidR="009304BE">
        <w:t xml:space="preserve">SIB1 </w:t>
      </w:r>
      <w:r w:rsidR="00C87E19">
        <w:t>PDSCH</w:t>
      </w:r>
    </w:p>
    <w:p w14:paraId="71D859D7" w14:textId="012A0B7B" w:rsidR="006552DC"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to 0</w:t>
      </w:r>
      <w:r w:rsidR="00E04648">
        <w:rPr>
          <w:rFonts w:cs="Arial"/>
          <w:color w:val="212529"/>
          <w:shd w:val="clear" w:color="auto" w:fill="FFFFFF"/>
        </w:rPr>
        <w:t xml:space="preserve"> (i.e., SIB1)</w:t>
      </w:r>
      <w:r>
        <w:rPr>
          <w:rFonts w:cs="Arial"/>
          <w:color w:val="212529"/>
          <w:shd w:val="clear" w:color="auto" w:fill="FFFFFF"/>
        </w:rPr>
        <w:t xml:space="preserve">, the UE shall assume that no SS/PBCH block is transmitted in REs used by the UE for a reception of the PDSCH. This assumption restricts the multiplexing possibilities between SS/PBCH blocks and PDSCH carrying </w:t>
      </w:r>
      <w:r w:rsidR="009304BE">
        <w:rPr>
          <w:rFonts w:cs="Arial"/>
          <w:color w:val="212529"/>
          <w:shd w:val="clear" w:color="auto" w:fill="FFFFFF"/>
        </w:rPr>
        <w:t>SIB1</w:t>
      </w:r>
      <w:r>
        <w:rPr>
          <w:rFonts w:cs="Arial"/>
          <w:color w:val="212529"/>
          <w:shd w:val="clear" w:color="auto" w:fill="FFFFFF"/>
        </w:rPr>
        <w:t xml:space="preserve">. Specifically, it does not allow the PDSCH to be mapped “around” </w:t>
      </w:r>
      <w:r w:rsidR="00C87E19">
        <w:rPr>
          <w:rFonts w:cs="Arial"/>
          <w:color w:val="212529"/>
          <w:shd w:val="clear" w:color="auto" w:fill="FFFFFF"/>
        </w:rPr>
        <w:t xml:space="preserve">an </w:t>
      </w:r>
      <w:r>
        <w:rPr>
          <w:rFonts w:cs="Arial"/>
          <w:color w:val="212529"/>
          <w:shd w:val="clear" w:color="auto" w:fill="FFFFFF"/>
        </w:rPr>
        <w:t>SS/PBCH block</w:t>
      </w:r>
      <w:r w:rsidR="00C87E19">
        <w:rPr>
          <w:rFonts w:cs="Arial"/>
          <w:color w:val="212529"/>
          <w:shd w:val="clear" w:color="auto" w:fill="FFFFFF"/>
        </w:rPr>
        <w:t xml:space="preserve">, hence the white gaps </w:t>
      </w:r>
      <w:r w:rsidR="00C87E19" w:rsidRPr="00745C8B">
        <w:rPr>
          <w:rFonts w:cs="Arial"/>
          <w:color w:val="212529"/>
          <w:shd w:val="clear" w:color="auto" w:fill="FFFFFF"/>
        </w:rPr>
        <w:t xml:space="preserve">in </w:t>
      </w:r>
      <w:r w:rsidR="00C87E19" w:rsidRPr="006F1A09">
        <w:rPr>
          <w:rFonts w:cs="Arial"/>
          <w:color w:val="212529"/>
          <w:shd w:val="clear" w:color="auto" w:fill="FFFFFF"/>
        </w:rPr>
        <w:fldChar w:fldCharType="begin"/>
      </w:r>
      <w:r w:rsidR="00C87E19" w:rsidRPr="00745C8B">
        <w:rPr>
          <w:rFonts w:cs="Arial"/>
          <w:color w:val="212529"/>
          <w:shd w:val="clear" w:color="auto" w:fill="FFFFFF"/>
        </w:rPr>
        <w:instrText xml:space="preserve"> REF _Ref881006 \h </w:instrText>
      </w:r>
      <w:r w:rsidR="0033466C" w:rsidRPr="00D655E6">
        <w:rPr>
          <w:rFonts w:cs="Arial"/>
          <w:color w:val="212529"/>
          <w:shd w:val="clear" w:color="auto" w:fill="FFFFFF"/>
        </w:rPr>
        <w:instrText xml:space="preserve"> \* MERGEFORMAT </w:instrText>
      </w:r>
      <w:r w:rsidR="00C87E19" w:rsidRPr="006F1A09">
        <w:rPr>
          <w:rFonts w:cs="Arial"/>
          <w:color w:val="212529"/>
          <w:shd w:val="clear" w:color="auto" w:fill="FFFFFF"/>
        </w:rPr>
      </w:r>
      <w:r w:rsidR="00C87E19" w:rsidRPr="006F1A09">
        <w:rPr>
          <w:rFonts w:cs="Arial"/>
          <w:color w:val="212529"/>
          <w:shd w:val="clear" w:color="auto" w:fill="FFFFFF"/>
        </w:rPr>
        <w:fldChar w:fldCharType="separate"/>
      </w:r>
      <w:r w:rsidR="00C64C63">
        <w:t>Figure 1</w:t>
      </w:r>
      <w:r w:rsidR="00C87E19" w:rsidRPr="006F1A09">
        <w:rPr>
          <w:rFonts w:cs="Arial"/>
          <w:color w:val="212529"/>
          <w:shd w:val="clear" w:color="auto" w:fill="FFFFFF"/>
        </w:rPr>
        <w:fldChar w:fldCharType="end"/>
      </w:r>
      <w:r w:rsidR="0083327A" w:rsidRPr="00745C8B">
        <w:rPr>
          <w:rFonts w:cs="Arial"/>
          <w:color w:val="212529"/>
          <w:shd w:val="clear" w:color="auto" w:fill="FFFFFF"/>
        </w:rPr>
        <w:t xml:space="preserve"> </w:t>
      </w:r>
      <w:r w:rsidR="00C87E19" w:rsidRPr="00745C8B">
        <w:rPr>
          <w:rFonts w:cs="Arial"/>
          <w:color w:val="212529"/>
          <w:shd w:val="clear" w:color="auto" w:fill="FFFFFF"/>
        </w:rPr>
        <w:t xml:space="preserve">and </w:t>
      </w:r>
      <w:r w:rsidR="00FD6C23">
        <w:rPr>
          <w:rFonts w:cs="Arial"/>
          <w:color w:val="212529"/>
          <w:highlight w:val="yellow"/>
          <w:shd w:val="clear" w:color="auto" w:fill="FFFFFF"/>
        </w:rPr>
        <w:fldChar w:fldCharType="begin"/>
      </w:r>
      <w:r w:rsidR="00FD6C23">
        <w:rPr>
          <w:rFonts w:cs="Arial"/>
          <w:color w:val="212529"/>
          <w:highlight w:val="yellow"/>
          <w:shd w:val="clear" w:color="auto" w:fill="FFFFFF"/>
        </w:rPr>
        <w:instrText xml:space="preserve"> REF _Ref16067128 \h </w:instrText>
      </w:r>
      <w:r w:rsidR="00FD6C23">
        <w:rPr>
          <w:rFonts w:cs="Arial"/>
          <w:color w:val="212529"/>
          <w:highlight w:val="yellow"/>
          <w:shd w:val="clear" w:color="auto" w:fill="FFFFFF"/>
        </w:rPr>
      </w:r>
      <w:r w:rsidR="00FD6C23">
        <w:rPr>
          <w:rFonts w:cs="Arial"/>
          <w:color w:val="212529"/>
          <w:highlight w:val="yellow"/>
          <w:shd w:val="clear" w:color="auto" w:fill="FFFFFF"/>
        </w:rPr>
        <w:fldChar w:fldCharType="separate"/>
      </w:r>
      <w:r w:rsidR="00C64C63">
        <w:t xml:space="preserve">Figure </w:t>
      </w:r>
      <w:r w:rsidR="00C64C63">
        <w:rPr>
          <w:noProof/>
        </w:rPr>
        <w:t>2</w:t>
      </w:r>
      <w:r w:rsidR="00FD6C23">
        <w:rPr>
          <w:rFonts w:cs="Arial"/>
          <w:color w:val="212529"/>
          <w:highlight w:val="yellow"/>
          <w:shd w:val="clear" w:color="auto" w:fill="FFFFFF"/>
        </w:rPr>
        <w:fldChar w:fldCharType="end"/>
      </w:r>
      <w:r w:rsidR="00C87E19">
        <w:rPr>
          <w:rFonts w:cs="Arial"/>
          <w:color w:val="212529"/>
          <w:shd w:val="clear" w:color="auto" w:fill="FFFFFF"/>
        </w:rPr>
        <w:t>.</w:t>
      </w:r>
    </w:p>
    <w:p w14:paraId="40E83741" w14:textId="7F2EF598" w:rsidR="007E64CD" w:rsidRDefault="00AB65A8" w:rsidP="00AD5841">
      <w:pPr>
        <w:pStyle w:val="BodyText"/>
      </w:pPr>
      <w:r>
        <w:rPr>
          <w:rFonts w:cs="Arial"/>
          <w:color w:val="212529"/>
          <w:shd w:val="clear" w:color="auto" w:fill="FFFFFF"/>
        </w:rPr>
        <w:t>If further optimizations</w:t>
      </w:r>
      <w:r w:rsidR="000128BB">
        <w:rPr>
          <w:rFonts w:cs="Arial"/>
          <w:color w:val="212529"/>
          <w:shd w:val="clear" w:color="auto" w:fill="FFFFFF"/>
        </w:rPr>
        <w:t xml:space="preserve"> of the</w:t>
      </w:r>
      <w:r>
        <w:rPr>
          <w:rFonts w:cs="Arial"/>
          <w:color w:val="212529"/>
          <w:shd w:val="clear" w:color="auto" w:fill="FFFFFF"/>
        </w:rPr>
        <w:t xml:space="preserve"> number of available resources for SIB1</w:t>
      </w:r>
      <w:r w:rsidR="000128BB">
        <w:rPr>
          <w:rFonts w:cs="Arial"/>
          <w:color w:val="212529"/>
          <w:shd w:val="clear" w:color="auto" w:fill="FFFFFF"/>
        </w:rPr>
        <w:t xml:space="preserve"> are needed</w:t>
      </w:r>
      <w:r>
        <w:rPr>
          <w:rFonts w:cs="Arial"/>
          <w:color w:val="212529"/>
          <w:shd w:val="clear" w:color="auto" w:fill="FFFFFF"/>
        </w:rPr>
        <w:t xml:space="preserve"> compared to the designs proposed in Section 2.1</w:t>
      </w:r>
      <w:r w:rsidR="007F4E07">
        <w:rPr>
          <w:rFonts w:cs="Arial"/>
          <w:color w:val="212529"/>
          <w:shd w:val="clear" w:color="auto" w:fill="FFFFFF"/>
        </w:rPr>
        <w:t>,</w:t>
      </w:r>
      <w:r>
        <w:rPr>
          <w:rFonts w:cs="Arial"/>
          <w:color w:val="212529"/>
          <w:shd w:val="clear" w:color="auto" w:fill="FFFFFF"/>
        </w:rPr>
        <w:t xml:space="preserve"> one would need to revisit </w:t>
      </w:r>
      <w:proofErr w:type="gramStart"/>
      <w:r>
        <w:rPr>
          <w:rFonts w:cs="Arial"/>
          <w:color w:val="212529"/>
          <w:shd w:val="clear" w:color="auto" w:fill="FFFFFF"/>
        </w:rPr>
        <w:t>a number of</w:t>
      </w:r>
      <w:proofErr w:type="gramEnd"/>
      <w:r>
        <w:rPr>
          <w:rFonts w:cs="Arial"/>
          <w:color w:val="212529"/>
          <w:shd w:val="clear" w:color="auto" w:fill="FFFFFF"/>
        </w:rPr>
        <w:t xml:space="preserve">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allowed to make. </w:t>
      </w:r>
      <w:r w:rsidR="0053498A">
        <w:rPr>
          <w:rFonts w:cs="Arial"/>
          <w:color w:val="212529"/>
          <w:shd w:val="clear" w:color="auto" w:fill="FFFFFF"/>
        </w:rPr>
        <w:t>In general</w:t>
      </w:r>
      <w:r w:rsidR="00137A25">
        <w:rPr>
          <w:rFonts w:cs="Arial"/>
          <w:color w:val="212529"/>
          <w:shd w:val="clear" w:color="auto" w:fill="FFFFFF"/>
        </w:rPr>
        <w:t xml:space="preserve">, Section 5.1.4 in </w:t>
      </w:r>
      <w:r w:rsidR="00137A25">
        <w:rPr>
          <w:rFonts w:cs="Arial"/>
          <w:color w:val="212529"/>
          <w:shd w:val="clear" w:color="auto" w:fill="FFFFFF"/>
        </w:rPr>
        <w:fldChar w:fldCharType="begin"/>
      </w:r>
      <w:r w:rsidR="00137A25">
        <w:rPr>
          <w:rFonts w:cs="Arial"/>
          <w:color w:val="212529"/>
          <w:shd w:val="clear" w:color="auto" w:fill="FFFFFF"/>
        </w:rPr>
        <w:instrText xml:space="preserve"> REF _Ref974170 \r \h </w:instrText>
      </w:r>
      <w:r w:rsidR="00137A25">
        <w:rPr>
          <w:rFonts w:cs="Arial"/>
          <w:color w:val="212529"/>
          <w:shd w:val="clear" w:color="auto" w:fill="FFFFFF"/>
        </w:rPr>
      </w:r>
      <w:r w:rsidR="00137A25">
        <w:rPr>
          <w:rFonts w:cs="Arial"/>
          <w:color w:val="212529"/>
          <w:shd w:val="clear" w:color="auto" w:fill="FFFFFF"/>
        </w:rPr>
        <w:fldChar w:fldCharType="separate"/>
      </w:r>
      <w:r w:rsidR="00C64C63">
        <w:rPr>
          <w:rFonts w:cs="Arial"/>
          <w:color w:val="212529"/>
          <w:shd w:val="clear" w:color="auto" w:fill="FFFFFF"/>
        </w:rPr>
        <w:t>[6]</w:t>
      </w:r>
      <w:r w:rsidR="00137A25">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r w:rsidR="00BD47F8">
        <w:t>Additionally, t</w:t>
      </w:r>
      <w:r w:rsidR="0053498A">
        <w:t xml:space="preserve">he assumption in Section 7.4.1.1.2 in </w:t>
      </w:r>
      <w:r w:rsidR="0053498A">
        <w:fldChar w:fldCharType="begin"/>
      </w:r>
      <w:r w:rsidR="0053498A">
        <w:instrText xml:space="preserve"> REF _Ref518639925 \r \h </w:instrText>
      </w:r>
      <w:r w:rsidR="0053498A">
        <w:fldChar w:fldCharType="separate"/>
      </w:r>
      <w:r w:rsidR="00C64C63">
        <w:t>[4]</w:t>
      </w:r>
      <w:r w:rsidR="0053498A">
        <w:fldChar w:fldCharType="end"/>
      </w:r>
      <w:r w:rsidR="0053498A">
        <w:t xml:space="preserve"> that </w:t>
      </w:r>
      <w:r w:rsidR="00E27B40">
        <w:t>“</w:t>
      </w:r>
      <w:r w:rsidR="0053498A">
        <w:t>t</w:t>
      </w:r>
      <w:r w:rsidR="0053498A" w:rsidRPr="0053498A">
        <w:t>he UE</w:t>
      </w:r>
      <w:r w:rsidR="00E27B40">
        <w:t xml:space="preserve"> </w:t>
      </w:r>
      <w:r w:rsidR="0053498A" w:rsidRPr="0053498A">
        <w:t>may assume that no DM-RS collides with the SS/PBCH block</w:t>
      </w:r>
      <w:r w:rsidR="00E27B40">
        <w:t>”</w:t>
      </w:r>
      <w:r w:rsidR="0053498A">
        <w:t xml:space="preserve"> would need to be revisited</w:t>
      </w:r>
      <w:r w:rsidR="007E64CD">
        <w:t>.</w:t>
      </w:r>
    </w:p>
    <w:p w14:paraId="2482A20C" w14:textId="4A478785" w:rsidR="00C2002F" w:rsidRDefault="00C2002F" w:rsidP="00AD5841">
      <w:pPr>
        <w:pStyle w:val="BodyText"/>
      </w:pPr>
      <w:r>
        <w:t xml:space="preserve">Two possible optimization options are Options 2a and 2b, illustrated in </w:t>
      </w:r>
      <w:r>
        <w:fldChar w:fldCharType="begin"/>
      </w:r>
      <w:r>
        <w:instrText xml:space="preserve"> REF _Ref16068504 \h </w:instrText>
      </w:r>
      <w:r>
        <w:fldChar w:fldCharType="separate"/>
      </w:r>
      <w:r w:rsidR="00C64C63">
        <w:t xml:space="preserve">Figure </w:t>
      </w:r>
      <w:r w:rsidR="00C64C63">
        <w:rPr>
          <w:noProof/>
        </w:rPr>
        <w:t>3</w:t>
      </w:r>
      <w:r>
        <w:fldChar w:fldCharType="end"/>
      </w:r>
      <w:r>
        <w:t xml:space="preserve"> and </w:t>
      </w:r>
      <w:r>
        <w:fldChar w:fldCharType="begin"/>
      </w:r>
      <w:r>
        <w:instrText xml:space="preserve"> REF _Ref16068512 \h </w:instrText>
      </w:r>
      <w:r>
        <w:fldChar w:fldCharType="separate"/>
      </w:r>
      <w:r w:rsidR="00C64C63">
        <w:t xml:space="preserve">Figure </w:t>
      </w:r>
      <w:r w:rsidR="00C64C63">
        <w:rPr>
          <w:noProof/>
        </w:rPr>
        <w:t>4</w:t>
      </w:r>
      <w:r>
        <w:fldChar w:fldCharType="end"/>
      </w:r>
      <w:r>
        <w:t xml:space="preserve"> respectively. </w:t>
      </w:r>
      <w:r w:rsidRPr="00C2002F">
        <w:rPr>
          <w:noProof/>
        </w:rPr>
        <w:drawing>
          <wp:inline distT="0" distB="0" distL="0" distR="0" wp14:anchorId="2DB2F00D" wp14:editId="08D15AD7">
            <wp:extent cx="3143250" cy="1047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0" cy="1047750"/>
                    </a:xfrm>
                    <a:prstGeom prst="rect">
                      <a:avLst/>
                    </a:prstGeom>
                    <a:noFill/>
                    <a:ln>
                      <a:noFill/>
                    </a:ln>
                  </pic:spPr>
                </pic:pic>
              </a:graphicData>
            </a:graphic>
          </wp:inline>
        </w:drawing>
      </w:r>
    </w:p>
    <w:p w14:paraId="0D587625" w14:textId="65CF966B" w:rsidR="00C2002F" w:rsidRDefault="00C2002F" w:rsidP="00C2002F">
      <w:pPr>
        <w:pStyle w:val="Caption"/>
      </w:pPr>
      <w:bookmarkStart w:id="26" w:name="_Ref16068504"/>
      <w:r>
        <w:t xml:space="preserve">Figure </w:t>
      </w:r>
      <w:fldSimple w:instr=" SEQ Figure \* ARABIC ">
        <w:r w:rsidR="00C64C63">
          <w:rPr>
            <w:noProof/>
          </w:rPr>
          <w:t>3</w:t>
        </w:r>
      </w:fldSimple>
      <w:bookmarkEnd w:id="26"/>
      <w:r>
        <w:t xml:space="preserve"> Option 2a, new Type0-like resource allocation specified for SIB1.</w:t>
      </w:r>
    </w:p>
    <w:p w14:paraId="0696037F" w14:textId="7A8E2A7B" w:rsidR="00C2002F" w:rsidRDefault="00C2002F" w:rsidP="00C2002F">
      <w:pPr>
        <w:rPr>
          <w:lang w:eastAsia="en-GB"/>
        </w:rPr>
      </w:pPr>
      <w:r w:rsidRPr="00C2002F">
        <w:rPr>
          <w:noProof/>
        </w:rPr>
        <w:drawing>
          <wp:inline distT="0" distB="0" distL="0" distR="0" wp14:anchorId="4087E79D" wp14:editId="270B60D2">
            <wp:extent cx="3143250" cy="1047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0" cy="1047750"/>
                    </a:xfrm>
                    <a:prstGeom prst="rect">
                      <a:avLst/>
                    </a:prstGeom>
                    <a:noFill/>
                    <a:ln>
                      <a:noFill/>
                    </a:ln>
                  </pic:spPr>
                </pic:pic>
              </a:graphicData>
            </a:graphic>
          </wp:inline>
        </w:drawing>
      </w:r>
    </w:p>
    <w:p w14:paraId="54726273" w14:textId="715D25E5" w:rsidR="00C2002F" w:rsidRDefault="00C2002F" w:rsidP="00C2002F">
      <w:pPr>
        <w:pStyle w:val="Caption"/>
      </w:pPr>
      <w:bookmarkStart w:id="27" w:name="_Ref16068512"/>
      <w:r>
        <w:t xml:space="preserve">Figure </w:t>
      </w:r>
      <w:fldSimple w:instr=" SEQ Figure \* ARABIC ">
        <w:r w:rsidR="00C64C63">
          <w:rPr>
            <w:noProof/>
          </w:rPr>
          <w:t>4</w:t>
        </w:r>
      </w:fldSimple>
      <w:bookmarkEnd w:id="27"/>
      <w:r>
        <w:t xml:space="preserve"> Option 2b, new resource allocation and full rate matching specified for SIB1. </w:t>
      </w:r>
    </w:p>
    <w:p w14:paraId="407FEF07" w14:textId="10C3ACAD" w:rsidR="006555F3" w:rsidRPr="00D655E6" w:rsidRDefault="00D837CE" w:rsidP="006555F3">
      <w:pPr>
        <w:rPr>
          <w:rFonts w:ascii="Arial" w:hAnsi="Arial" w:cs="Arial"/>
          <w:color w:val="212529"/>
          <w:shd w:val="clear" w:color="auto" w:fill="FFFFFF"/>
          <w:lang w:eastAsia="zh-CN"/>
        </w:rPr>
      </w:pPr>
      <w:r w:rsidRPr="00D655E6">
        <w:rPr>
          <w:rFonts w:ascii="Arial" w:hAnsi="Arial" w:cs="Arial"/>
          <w:color w:val="212529"/>
          <w:shd w:val="clear" w:color="auto" w:fill="FFFFFF"/>
          <w:lang w:eastAsia="zh-CN"/>
        </w:rPr>
        <w:t xml:space="preserve">Option 2a would not require changes to Default table A, but would require discontinuous resource allocation of SIB1 PDSCH, which is not supported in Rel-15 with DCI 1_0 for SI scheduling. How to allow such discontinuous resource allocation will require further discussion. </w:t>
      </w:r>
    </w:p>
    <w:p w14:paraId="201DB0DE" w14:textId="67603F8E" w:rsidR="00D837CE" w:rsidRDefault="00D837CE" w:rsidP="006555F3">
      <w:pPr>
        <w:rPr>
          <w:rFonts w:ascii="Arial" w:hAnsi="Arial" w:cs="Arial"/>
          <w:color w:val="212529"/>
          <w:shd w:val="clear" w:color="auto" w:fill="FFFFFF"/>
          <w:lang w:eastAsia="zh-CN"/>
        </w:rPr>
      </w:pPr>
      <w:r w:rsidRPr="00D655E6">
        <w:rPr>
          <w:rFonts w:ascii="Arial" w:hAnsi="Arial" w:cs="Arial"/>
          <w:color w:val="212529"/>
          <w:shd w:val="clear" w:color="auto" w:fill="FFFFFF"/>
          <w:lang w:eastAsia="zh-CN"/>
        </w:rPr>
        <w:t>Option 2b, will on top of specification changes for Option 2a, require support of full rate matching around SS/PBCH</w:t>
      </w:r>
      <w:r w:rsidR="00114B75">
        <w:rPr>
          <w:rFonts w:ascii="Arial" w:hAnsi="Arial" w:cs="Arial"/>
          <w:color w:val="212529"/>
          <w:shd w:val="clear" w:color="auto" w:fill="FFFFFF"/>
          <w:lang w:eastAsia="zh-CN"/>
        </w:rPr>
        <w:t>, which will require specification changes and, most importantly, UE behaviour changes</w:t>
      </w:r>
      <w:r w:rsidR="00A63E23" w:rsidRPr="00D655E6">
        <w:rPr>
          <w:rFonts w:ascii="Arial" w:hAnsi="Arial" w:cs="Arial"/>
          <w:color w:val="212529"/>
          <w:shd w:val="clear" w:color="auto" w:fill="FFFFFF"/>
          <w:lang w:eastAsia="zh-CN"/>
        </w:rPr>
        <w:t>.</w:t>
      </w:r>
      <w:r w:rsidR="00114B75">
        <w:rPr>
          <w:rFonts w:ascii="Arial" w:hAnsi="Arial" w:cs="Arial"/>
          <w:color w:val="212529"/>
          <w:shd w:val="clear" w:color="auto" w:fill="FFFFFF"/>
          <w:lang w:eastAsia="zh-CN"/>
        </w:rPr>
        <w:t xml:space="preserve"> The first major drawback with Option 2b is regarding m</w:t>
      </w:r>
      <w:r w:rsidR="009F5CD0" w:rsidRPr="00D655E6">
        <w:rPr>
          <w:rFonts w:ascii="Arial" w:hAnsi="Arial" w:cs="Arial"/>
          <w:color w:val="212529"/>
          <w:shd w:val="clear" w:color="auto" w:fill="FFFFFF"/>
          <w:lang w:eastAsia="zh-CN"/>
        </w:rPr>
        <w:t xml:space="preserve">echanisms to tell the UE about rate </w:t>
      </w:r>
      <w:proofErr w:type="gramStart"/>
      <w:r w:rsidR="009F5CD0" w:rsidRPr="00D655E6">
        <w:rPr>
          <w:rFonts w:ascii="Arial" w:hAnsi="Arial" w:cs="Arial"/>
          <w:color w:val="212529"/>
          <w:shd w:val="clear" w:color="auto" w:fill="FFFFFF"/>
          <w:lang w:eastAsia="zh-CN"/>
        </w:rPr>
        <w:t>matching</w:t>
      </w:r>
      <w:r w:rsidR="00114B75">
        <w:rPr>
          <w:rFonts w:ascii="Arial" w:hAnsi="Arial" w:cs="Arial"/>
          <w:color w:val="212529"/>
          <w:shd w:val="clear" w:color="auto" w:fill="FFFFFF"/>
          <w:lang w:eastAsia="zh-CN"/>
        </w:rPr>
        <w:t>.</w:t>
      </w:r>
      <w:r w:rsidR="009F5CD0" w:rsidRPr="00D655E6">
        <w:rPr>
          <w:rFonts w:ascii="Arial" w:hAnsi="Arial" w:cs="Arial"/>
          <w:color w:val="212529"/>
          <w:shd w:val="clear" w:color="auto" w:fill="FFFFFF"/>
          <w:lang w:eastAsia="zh-CN"/>
        </w:rPr>
        <w:t>.</w:t>
      </w:r>
      <w:proofErr w:type="gramEnd"/>
      <w:r w:rsidR="009F5CD0" w:rsidRPr="00D655E6">
        <w:rPr>
          <w:rFonts w:ascii="Arial" w:hAnsi="Arial" w:cs="Arial"/>
          <w:color w:val="212529"/>
          <w:shd w:val="clear" w:color="auto" w:fill="FFFFFF"/>
          <w:lang w:eastAsia="zh-CN"/>
        </w:rPr>
        <w:t xml:space="preserve"> Potential options are DCI indication, </w:t>
      </w:r>
      <w:r w:rsidR="006E4121" w:rsidRPr="00D655E6">
        <w:rPr>
          <w:rFonts w:ascii="Arial" w:hAnsi="Arial" w:cs="Arial"/>
          <w:color w:val="212529"/>
          <w:shd w:val="clear" w:color="auto" w:fill="FFFFFF"/>
          <w:lang w:eastAsia="zh-CN"/>
        </w:rPr>
        <w:t xml:space="preserve">static rules about rate matching or </w:t>
      </w:r>
      <w:r w:rsidR="00F11204" w:rsidRPr="00D655E6">
        <w:rPr>
          <w:rFonts w:ascii="Arial" w:hAnsi="Arial" w:cs="Arial"/>
          <w:color w:val="212529"/>
          <w:shd w:val="clear" w:color="auto" w:fill="FFFFFF"/>
          <w:lang w:eastAsia="zh-CN"/>
        </w:rPr>
        <w:t xml:space="preserve">rate matching based on detection of SS/PBCH detection. </w:t>
      </w:r>
      <w:r w:rsidR="00E4721D">
        <w:rPr>
          <w:rFonts w:ascii="Arial" w:hAnsi="Arial" w:cs="Arial"/>
          <w:color w:val="212529"/>
          <w:shd w:val="clear" w:color="auto" w:fill="FFFFFF"/>
          <w:lang w:eastAsia="zh-CN"/>
        </w:rPr>
        <w:t xml:space="preserve">DCI indication or static rules requires specification impact and UE behaviour impact. Relying on UE detection of SSB would probably not be robust enough and would then lead to SIB1 decoding failure. </w:t>
      </w:r>
    </w:p>
    <w:p w14:paraId="5923C455" w14:textId="61B6156A"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lastRenderedPageBreak/>
        <w:t xml:space="preserve">The second major drawback is regarding channel estimation. With a DRS design as Option 2b, the first DMRS symbol is punctured by the SS/PBCH block and will complicate channel estimation for the PDSCH in symbol 6. </w:t>
      </w:r>
    </w:p>
    <w:p w14:paraId="21605EC6" w14:textId="0DE3D16F"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t>Some of the specification impacts of allowing rate matching of PDSCH carrying in SIB1 are:</w:t>
      </w:r>
    </w:p>
    <w:p w14:paraId="77E639CE" w14:textId="747EADEF" w:rsidR="00E4721D" w:rsidRPr="00D655E6" w:rsidRDefault="00E4721D" w:rsidP="00311DAF">
      <w:pPr>
        <w:pStyle w:val="ListParagraph"/>
        <w:numPr>
          <w:ilvl w:val="0"/>
          <w:numId w:val="58"/>
        </w:numPr>
        <w:rPr>
          <w:rFonts w:ascii="Times New Roman" w:eastAsia="SimSun" w:hAnsi="Times New Roman"/>
          <w:kern w:val="2"/>
          <w:sz w:val="20"/>
          <w:lang w:eastAsia="zh-CN"/>
        </w:rPr>
      </w:pPr>
      <w:r w:rsidRPr="00D655E6">
        <w:rPr>
          <w:rFonts w:ascii="Arial" w:hAnsi="Arial" w:cs="Arial"/>
          <w:color w:val="212529"/>
          <w:sz w:val="20"/>
          <w:shd w:val="clear" w:color="auto" w:fill="FFFFFF"/>
          <w:lang w:eastAsia="zh-CN"/>
        </w:rPr>
        <w:t>38.214</w:t>
      </w:r>
      <w:r w:rsidRPr="00D655E6">
        <w:rPr>
          <w:rFonts w:ascii="Arial" w:hAnsi="Arial" w:cs="Arial"/>
          <w:color w:val="212529"/>
          <w:sz w:val="20"/>
          <w:shd w:val="clear" w:color="auto" w:fill="FFFFFF"/>
          <w:lang w:val="en-US" w:eastAsia="zh-CN"/>
        </w:rPr>
        <w:t xml:space="preserve">, Sec </w:t>
      </w:r>
      <w:r w:rsidR="00311DAF" w:rsidRPr="00D655E6">
        <w:rPr>
          <w:rFonts w:ascii="Arial" w:hAnsi="Arial" w:cs="Arial"/>
          <w:color w:val="212529"/>
          <w:sz w:val="20"/>
          <w:shd w:val="clear" w:color="auto" w:fill="FFFFFF"/>
          <w:lang w:val="en-US" w:eastAsia="zh-CN"/>
        </w:rPr>
        <w:t>5.1.4</w:t>
      </w:r>
      <w:r w:rsidRPr="00D655E6">
        <w:rPr>
          <w:rFonts w:ascii="Arial" w:hAnsi="Arial" w:cs="Arial"/>
          <w:color w:val="212529"/>
          <w:sz w:val="20"/>
          <w:shd w:val="clear" w:color="auto" w:fill="FFFFFF"/>
          <w:lang w:val="en-US" w:eastAsia="zh-CN"/>
        </w:rPr>
        <w:t>:</w:t>
      </w:r>
      <w:r w:rsidR="00311DAF" w:rsidRPr="00D655E6">
        <w:rPr>
          <w:rFonts w:ascii="Arial" w:hAnsi="Arial" w:cs="Arial"/>
          <w:color w:val="212529"/>
          <w:sz w:val="20"/>
          <w:shd w:val="clear" w:color="auto" w:fill="FFFFFF"/>
          <w:lang w:val="en-US" w:eastAsia="zh-CN"/>
        </w:rPr>
        <w:t xml:space="preserve"> </w:t>
      </w:r>
      <w:r w:rsidRPr="00D655E6">
        <w:rPr>
          <w:rFonts w:ascii="Arial" w:hAnsi="Arial" w:cs="Arial"/>
          <w:color w:val="212529"/>
          <w:sz w:val="20"/>
          <w:shd w:val="clear" w:color="auto" w:fill="FFFFFF"/>
          <w:lang w:val="en-US" w:eastAsia="zh-CN"/>
        </w:rPr>
        <w:t xml:space="preserve"> </w:t>
      </w:r>
      <w:r w:rsidR="00311DAF" w:rsidRPr="00D655E6">
        <w:rPr>
          <w:rFonts w:ascii="Arial" w:hAnsi="Arial" w:cs="Arial"/>
          <w:color w:val="212529"/>
          <w:sz w:val="20"/>
          <w:shd w:val="clear" w:color="auto" w:fill="FFFFFF"/>
          <w:lang w:val="en-US" w:eastAsia="zh-CN"/>
        </w:rPr>
        <w:t>“</w:t>
      </w:r>
      <w:r w:rsidR="00311DAF" w:rsidRPr="00D655E6">
        <w:rPr>
          <w:rFonts w:ascii="Times New Roman" w:eastAsia="SimSun" w:hAnsi="Times New Roman"/>
          <w:kern w:val="2"/>
          <w:sz w:val="20"/>
          <w:lang w:eastAsia="zh-CN"/>
        </w:rPr>
        <w:t xml:space="preserve">When receiving the PDSCH </w:t>
      </w:r>
      <w:r w:rsidR="00311DAF" w:rsidRPr="00D655E6">
        <w:rPr>
          <w:rFonts w:ascii="Times New Roman" w:eastAsia="SimSun" w:hAnsi="Times New Roman"/>
          <w:color w:val="000000"/>
          <w:kern w:val="2"/>
          <w:sz w:val="20"/>
          <w:lang w:eastAsia="zh-CN"/>
        </w:rPr>
        <w:t>scheduled with SI-RNTI and the system information indicator in DCI is set to 0</w:t>
      </w:r>
      <w:r w:rsidR="00311DAF" w:rsidRPr="00D655E6">
        <w:rPr>
          <w:rFonts w:ascii="Times New Roman" w:eastAsia="SimSun" w:hAnsi="Times New Roman"/>
          <w:kern w:val="2"/>
          <w:sz w:val="20"/>
          <w:highlight w:val="yellow"/>
          <w:lang w:eastAsia="zh-CN"/>
        </w:rPr>
        <w:t>, the UE shall assume that no SS/PBCH block is transmitted in REs used by the UE for a reception of the PDSCH</w:t>
      </w:r>
      <w:r w:rsidR="00311DAF" w:rsidRPr="00D655E6">
        <w:rPr>
          <w:rFonts w:eastAsia="SimSun"/>
          <w:kern w:val="2"/>
          <w:lang w:eastAsia="zh-CN"/>
        </w:rPr>
        <w:t>.</w:t>
      </w:r>
      <w:r w:rsidR="00311DAF" w:rsidRPr="00D655E6">
        <w:rPr>
          <w:rFonts w:ascii="Arial" w:hAnsi="Arial" w:cs="Arial"/>
          <w:color w:val="212529"/>
          <w:sz w:val="20"/>
          <w:shd w:val="clear" w:color="auto" w:fill="FFFFFF"/>
          <w:lang w:val="en-US" w:eastAsia="zh-CN"/>
        </w:rPr>
        <w:t>”</w:t>
      </w:r>
    </w:p>
    <w:p w14:paraId="3AE3B15F" w14:textId="00C6DDCC" w:rsidR="00311DAF" w:rsidRPr="00D655E6" w:rsidRDefault="00311DAF" w:rsidP="00311DAF">
      <w:pPr>
        <w:pStyle w:val="ListParagraph"/>
        <w:numPr>
          <w:ilvl w:val="0"/>
          <w:numId w:val="58"/>
        </w:numPr>
        <w:rPr>
          <w:rFonts w:ascii="Times New Roman" w:eastAsia="Times New Roman" w:hAnsi="Times New Roman"/>
          <w:color w:val="000000"/>
          <w:sz w:val="20"/>
          <w:lang w:val="en-US" w:eastAsia="en-GB"/>
        </w:rPr>
      </w:pPr>
      <w:r w:rsidRPr="00311DAF">
        <w:rPr>
          <w:rFonts w:ascii="Arial" w:hAnsi="Arial" w:cs="Arial"/>
          <w:color w:val="212529"/>
          <w:sz w:val="20"/>
          <w:shd w:val="clear" w:color="auto" w:fill="FFFFFF"/>
          <w:lang w:val="en-US" w:eastAsia="zh-CN"/>
        </w:rPr>
        <w:t>38.214, Sec 5.1.2.2.2: “</w:t>
      </w:r>
      <w:bookmarkStart w:id="28" w:name="_Hlk498008922"/>
      <w:r w:rsidRPr="00D655E6">
        <w:rPr>
          <w:rFonts w:ascii="Times New Roman" w:hAnsi="Times New Roman"/>
          <w:color w:val="000000"/>
          <w:sz w:val="20"/>
          <w:szCs w:val="20"/>
        </w:rPr>
        <w:t xml:space="preserve">In downlink resource allocation of type 1, the resource block assignment information indicates to a scheduled UE a set of </w:t>
      </w:r>
      <w:r w:rsidRPr="00D655E6">
        <w:rPr>
          <w:rFonts w:ascii="Times New Roman" w:hAnsi="Times New Roman"/>
          <w:color w:val="000000"/>
          <w:sz w:val="20"/>
          <w:szCs w:val="20"/>
          <w:highlight w:val="yellow"/>
        </w:rPr>
        <w:t>contiguously allocated</w:t>
      </w:r>
      <w:r w:rsidRPr="00D655E6">
        <w:rPr>
          <w:rFonts w:ascii="Times New Roman" w:hAnsi="Times New Roman"/>
          <w:color w:val="000000"/>
          <w:sz w:val="20"/>
          <w:szCs w:val="20"/>
        </w:rPr>
        <w:t xml:space="preserve"> non-interleaved or interleaved virtual resource blocks within the active bandwidth part of size </w:t>
      </w:r>
      <w:r w:rsidRPr="006F1A09">
        <w:rPr>
          <w:rFonts w:ascii="Times New Roman" w:hAnsi="Times New Roman"/>
          <w:position w:val="-10"/>
          <w:sz w:val="20"/>
          <w:szCs w:val="20"/>
        </w:rPr>
        <w:object w:dxaOrig="540" w:dyaOrig="340" w14:anchorId="447A8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5" o:title=""/>
          </v:shape>
          <o:OLEObject Type="Embed" ProgID="Equation.3" ShapeID="_x0000_i1025" DrawAspect="Content" ObjectID="_1627497151" r:id="rId16"/>
        </w:object>
      </w:r>
      <w:r w:rsidRPr="00D655E6">
        <w:rPr>
          <w:rFonts w:ascii="Times New Roman" w:hAnsi="Times New Roman"/>
          <w:color w:val="000000"/>
          <w:sz w:val="20"/>
          <w:szCs w:val="2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bookmarkEnd w:id="28"/>
      <w:r w:rsidRPr="00D655E6">
        <w:rPr>
          <w:rFonts w:ascii="Times New Roman" w:hAnsi="Times New Roman"/>
          <w:color w:val="212529"/>
          <w:sz w:val="20"/>
          <w:szCs w:val="20"/>
          <w:shd w:val="clear" w:color="auto" w:fill="FFFFFF"/>
          <w:lang w:val="en-US" w:eastAsia="zh-CN"/>
        </w:rPr>
        <w:t>”</w:t>
      </w:r>
    </w:p>
    <w:p w14:paraId="68379301" w14:textId="3D70657C" w:rsidR="00311DAF" w:rsidRPr="00D655E6" w:rsidRDefault="00311DAF" w:rsidP="00311DAF">
      <w:pPr>
        <w:pStyle w:val="ListParagraph"/>
        <w:numPr>
          <w:ilvl w:val="0"/>
          <w:numId w:val="58"/>
        </w:numPr>
        <w:rPr>
          <w:rFonts w:ascii="Arial" w:hAnsi="Arial" w:cs="Arial"/>
          <w:color w:val="212529"/>
          <w:sz w:val="20"/>
          <w:shd w:val="clear" w:color="auto" w:fill="FFFFFF"/>
          <w:lang w:eastAsia="zh-CN"/>
        </w:rPr>
      </w:pPr>
      <w:r w:rsidRPr="00D655E6">
        <w:rPr>
          <w:rFonts w:ascii="Arial" w:hAnsi="Arial" w:cs="Arial"/>
          <w:color w:val="212529"/>
          <w:sz w:val="20"/>
          <w:shd w:val="clear" w:color="auto" w:fill="FFFFFF"/>
          <w:lang w:eastAsia="zh-CN"/>
        </w:rPr>
        <w:t xml:space="preserve">38.211, </w:t>
      </w:r>
      <w:r>
        <w:rPr>
          <w:rFonts w:ascii="Arial" w:hAnsi="Arial" w:cs="Arial"/>
          <w:color w:val="212529"/>
          <w:sz w:val="20"/>
          <w:shd w:val="clear" w:color="auto" w:fill="FFFFFF"/>
          <w:lang w:val="en-US" w:eastAsia="zh-CN"/>
        </w:rPr>
        <w:t>Sec 7.4.1.1.2: “</w:t>
      </w:r>
      <w:r w:rsidRPr="00D655E6">
        <w:rPr>
          <w:rFonts w:ascii="Times New Roman" w:hAnsi="Times New Roman"/>
          <w:sz w:val="20"/>
        </w:rPr>
        <w:t xml:space="preserve">The UE may assume that </w:t>
      </w:r>
      <w:r w:rsidRPr="00D655E6">
        <w:rPr>
          <w:rFonts w:ascii="Times New Roman" w:hAnsi="Times New Roman"/>
          <w:sz w:val="20"/>
          <w:highlight w:val="yellow"/>
        </w:rPr>
        <w:t>no DM-RS collides with the SS/PBCH block</w:t>
      </w:r>
      <w:r>
        <w:t>.</w:t>
      </w:r>
      <w:r>
        <w:rPr>
          <w:rFonts w:ascii="Arial" w:hAnsi="Arial" w:cs="Arial"/>
          <w:color w:val="212529"/>
          <w:sz w:val="20"/>
          <w:shd w:val="clear" w:color="auto" w:fill="FFFFFF"/>
          <w:lang w:val="en-US" w:eastAsia="zh-CN"/>
        </w:rPr>
        <w:t>”</w:t>
      </w:r>
    </w:p>
    <w:p w14:paraId="7550FAAA" w14:textId="77777777" w:rsidR="004069B1" w:rsidRDefault="004069B1" w:rsidP="004069B1">
      <w:pPr>
        <w:rPr>
          <w:rFonts w:ascii="Arial" w:eastAsia="Calibri" w:hAnsi="Arial" w:cs="Arial"/>
          <w:color w:val="212529"/>
          <w:shd w:val="clear" w:color="auto" w:fill="FFFFFF"/>
          <w:lang w:eastAsia="zh-CN"/>
        </w:rPr>
      </w:pPr>
    </w:p>
    <w:p w14:paraId="6FD17C91" w14:textId="7A86FA34" w:rsidR="00311DAF" w:rsidRDefault="00311DAF" w:rsidP="00D655E6">
      <w:pPr>
        <w:rPr>
          <w:shd w:val="clear" w:color="auto" w:fill="FFFFFF"/>
        </w:rPr>
      </w:pPr>
      <w:r>
        <w:rPr>
          <w:rFonts w:ascii="Arial" w:eastAsia="Calibri" w:hAnsi="Arial" w:cs="Arial"/>
          <w:color w:val="212529"/>
          <w:shd w:val="clear" w:color="auto" w:fill="FFFFFF"/>
          <w:lang w:eastAsia="zh-CN"/>
        </w:rPr>
        <w:t>All of the above are part of basic initial access procedures in the UE and will require changes of UE behaviour of rate matching in the DRS is allowed.</w:t>
      </w:r>
    </w:p>
    <w:p w14:paraId="679F871F" w14:textId="674224C7" w:rsidR="00205C99" w:rsidRDefault="00205C99" w:rsidP="00AD5841">
      <w:pPr>
        <w:pStyle w:val="BodyText"/>
      </w:pPr>
      <w:r>
        <w:t>As discussed in Section 2.1, placing the SS/PBCH block and CORESET0 with 0 RB offset, will facilitate enough payload size for SIB1 PDSCH</w:t>
      </w:r>
      <w:r w:rsidR="004069B1">
        <w:t xml:space="preserve"> and will avoid the major changes required to support rate matching of PDSCH carrying SIB1</w:t>
      </w:r>
      <w:r>
        <w:t xml:space="preserve">. </w:t>
      </w:r>
    </w:p>
    <w:p w14:paraId="3C34D7CA" w14:textId="74D0AC04" w:rsidR="00BA7BD5" w:rsidRDefault="00C90154" w:rsidP="00AD5841">
      <w:pPr>
        <w:pStyle w:val="BodyText"/>
      </w:pPr>
      <w:r>
        <w:t xml:space="preserve">In light of </w:t>
      </w:r>
      <w:r w:rsidR="007C0C99">
        <w:t xml:space="preserve">these </w:t>
      </w:r>
      <w:r w:rsidR="00205C99">
        <w:t>arguments</w:t>
      </w:r>
      <w:r w:rsidR="007C0C99">
        <w:t xml:space="preserve"> </w:t>
      </w:r>
      <w:r>
        <w:t xml:space="preserve">we </w:t>
      </w:r>
      <w:r w:rsidR="007C0C99">
        <w:t>propose the following</w:t>
      </w:r>
    </w:p>
    <w:p w14:paraId="70F3AA86" w14:textId="0626D90C" w:rsidR="00D75C47" w:rsidRDefault="004A097C" w:rsidP="00D75C47">
      <w:pPr>
        <w:pStyle w:val="Proposal"/>
      </w:pPr>
      <w:bookmarkStart w:id="29" w:name="_Toc16884166"/>
      <w:r>
        <w:t xml:space="preserve">In line with </w:t>
      </w:r>
      <w:r w:rsidR="007C0C99">
        <w:t xml:space="preserve">NR </w:t>
      </w:r>
      <w:r>
        <w:t>Rel-15, mapping of SIB1 around an SS/PBCH block is not supported.</w:t>
      </w:r>
      <w:bookmarkEnd w:id="29"/>
    </w:p>
    <w:p w14:paraId="4ECBDA40" w14:textId="27399D05" w:rsidR="00AE66BA" w:rsidRPr="00124074" w:rsidRDefault="00AE66BA" w:rsidP="000F39C0">
      <w:pPr>
        <w:pStyle w:val="Heading2"/>
      </w:pPr>
      <w:r>
        <w:t>2.</w:t>
      </w:r>
      <w:r w:rsidR="00745C8B">
        <w:t>3</w:t>
      </w:r>
      <w:r>
        <w:t xml:space="preserve"> </w:t>
      </w:r>
      <w:r w:rsidR="00F62DE1">
        <w:tab/>
      </w:r>
      <w:r w:rsidRPr="00124074">
        <w:t>Maximum DRS length</w:t>
      </w:r>
    </w:p>
    <w:p w14:paraId="7D80ABB4" w14:textId="1E12448C" w:rsidR="00AE66BA" w:rsidRPr="00847892" w:rsidRDefault="00AE66BA" w:rsidP="00AE66BA">
      <w:pPr>
        <w:pStyle w:val="BodyText"/>
      </w:pPr>
      <w:r w:rsidRPr="005A6B33">
        <w:t>In RAN1#96bis</w:t>
      </w:r>
      <w:r w:rsidRPr="00847892">
        <w:t>, the following agreement</w:t>
      </w:r>
      <w:r w:rsidR="00481DC3">
        <w:t xml:space="preserve"> from the SI phase</w:t>
      </w:r>
      <w:r w:rsidRPr="00847892">
        <w:t xml:space="preserve"> regarding the relationship of the DRS duration and the LBT category was </w:t>
      </w:r>
      <w:r w:rsidR="00481DC3">
        <w:t xml:space="preserve">updated with the </w:t>
      </w:r>
      <w:r w:rsidR="00481DC3" w:rsidRPr="00DB1765">
        <w:rPr>
          <w:highlight w:val="lightGray"/>
        </w:rPr>
        <w:t>highlighted</w:t>
      </w:r>
      <w:r w:rsidR="00481DC3">
        <w:t xml:space="preserve"> part</w:t>
      </w:r>
      <w:r w:rsidRPr="00847892">
        <w:t xml:space="preserve">: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AE66BA" w:rsidRPr="00C64ECB" w14:paraId="56DEDECD" w14:textId="77777777" w:rsidTr="00D464D2">
        <w:trPr>
          <w:jc w:val="center"/>
        </w:trPr>
        <w:tc>
          <w:tcPr>
            <w:tcW w:w="1755" w:type="pct"/>
            <w:shd w:val="clear" w:color="auto" w:fill="auto"/>
          </w:tcPr>
          <w:p w14:paraId="4C480C28" w14:textId="77777777" w:rsidR="00AE66BA" w:rsidRPr="00C64ECB" w:rsidRDefault="00AE66BA" w:rsidP="00D464D2">
            <w:pPr>
              <w:pStyle w:val="TAH"/>
            </w:pPr>
          </w:p>
        </w:tc>
        <w:tc>
          <w:tcPr>
            <w:tcW w:w="1649" w:type="pct"/>
            <w:shd w:val="clear" w:color="auto" w:fill="auto"/>
          </w:tcPr>
          <w:p w14:paraId="03072670" w14:textId="77777777" w:rsidR="00AE66BA" w:rsidRPr="00C64ECB" w:rsidRDefault="00AE66BA" w:rsidP="00D464D2">
            <w:pPr>
              <w:pStyle w:val="TAH"/>
            </w:pPr>
            <w:r w:rsidRPr="00C64ECB">
              <w:t>Cat 2 LBT</w:t>
            </w:r>
          </w:p>
        </w:tc>
        <w:tc>
          <w:tcPr>
            <w:tcW w:w="1596" w:type="pct"/>
            <w:shd w:val="clear" w:color="auto" w:fill="auto"/>
          </w:tcPr>
          <w:p w14:paraId="445A4A3D" w14:textId="77777777" w:rsidR="00AE66BA" w:rsidRPr="00C64ECB" w:rsidRDefault="00AE66BA" w:rsidP="00D464D2">
            <w:pPr>
              <w:pStyle w:val="TAH"/>
            </w:pPr>
            <w:r w:rsidRPr="00C64ECB">
              <w:t>Cat 4 LBT</w:t>
            </w:r>
          </w:p>
        </w:tc>
      </w:tr>
      <w:tr w:rsidR="00AE66BA" w:rsidRPr="00847892" w14:paraId="22AF6CC9" w14:textId="77777777" w:rsidTr="00D464D2">
        <w:trPr>
          <w:jc w:val="center"/>
        </w:trPr>
        <w:tc>
          <w:tcPr>
            <w:tcW w:w="1755" w:type="pct"/>
            <w:shd w:val="clear" w:color="auto" w:fill="auto"/>
          </w:tcPr>
          <w:p w14:paraId="3F164ABF" w14:textId="77777777" w:rsidR="00AE66BA" w:rsidRPr="00C64ECB" w:rsidRDefault="00AE66BA" w:rsidP="00D464D2">
            <w:pPr>
              <w:pStyle w:val="TAL"/>
            </w:pPr>
            <w:r w:rsidRPr="00C64ECB">
              <w:t xml:space="preserve">DRS alone or multiplexed with non-unicast data (e.g. OSI, paging, RAR) </w:t>
            </w:r>
          </w:p>
        </w:tc>
        <w:tc>
          <w:tcPr>
            <w:tcW w:w="1649" w:type="pct"/>
            <w:shd w:val="clear" w:color="auto" w:fill="auto"/>
          </w:tcPr>
          <w:p w14:paraId="553E46EB" w14:textId="77777777" w:rsidR="00AE66BA" w:rsidRPr="00C64ECB" w:rsidRDefault="00AE66BA" w:rsidP="00D464D2">
            <w:pPr>
              <w:pStyle w:val="TAL"/>
              <w:rPr>
                <w:i/>
              </w:rPr>
            </w:pPr>
            <w:r>
              <w:t>W</w:t>
            </w:r>
            <w:r w:rsidRPr="00C64ECB">
              <w:t>hen the DRS duty cycle ≤1/20, and the total duration is up to 1 ms: 25 µs Cat 2 LBT is used (as in LAA)</w:t>
            </w:r>
          </w:p>
        </w:tc>
        <w:tc>
          <w:tcPr>
            <w:tcW w:w="1596" w:type="pct"/>
            <w:shd w:val="clear" w:color="auto" w:fill="auto"/>
          </w:tcPr>
          <w:p w14:paraId="513394CA" w14:textId="77777777" w:rsidR="00AE66BA" w:rsidRDefault="00AE66BA" w:rsidP="00D464D2">
            <w:pPr>
              <w:pStyle w:val="TAL"/>
            </w:pPr>
            <w:r w:rsidRPr="00C64ECB">
              <w:t>When DRS duty cycle is &gt; 1/20, or total duration &gt; 1 ms</w:t>
            </w:r>
          </w:p>
          <w:p w14:paraId="42DFE70B" w14:textId="77777777" w:rsidR="00AE66BA" w:rsidRPr="000F39C0" w:rsidRDefault="00AE66BA" w:rsidP="00D464D2">
            <w:pPr>
              <w:pStyle w:val="TAL"/>
              <w:rPr>
                <w:b/>
              </w:rPr>
            </w:pPr>
            <w:r w:rsidRPr="00DB1765">
              <w:rPr>
                <w:b/>
                <w:highlight w:val="lightGray"/>
              </w:rPr>
              <w:t>Cat4 with any channel access priority class value can be used</w:t>
            </w:r>
          </w:p>
        </w:tc>
      </w:tr>
    </w:tbl>
    <w:p w14:paraId="3EED220D" w14:textId="77777777" w:rsidR="00AE66BA" w:rsidRPr="00847892" w:rsidRDefault="00AE66BA" w:rsidP="00AE66BA">
      <w:pPr>
        <w:pStyle w:val="BodyText"/>
      </w:pPr>
    </w:p>
    <w:p w14:paraId="2A402E0E" w14:textId="77777777" w:rsidR="00AE66BA" w:rsidRPr="00847892" w:rsidRDefault="00AE66BA" w:rsidP="00AE66BA">
      <w:pPr>
        <w:pStyle w:val="BodyText"/>
      </w:pPr>
      <w:r w:rsidRPr="00847892">
        <w:t xml:space="preserve">With this agreement, in order to use Cat 2 LBT the duration of the transmitted DRS is limited to 1 ms, and thus </w:t>
      </w:r>
      <w:r w:rsidRPr="005A6B33">
        <w:t xml:space="preserve">for that case </w:t>
      </w:r>
      <w:r w:rsidRPr="00847892">
        <w:t xml:space="preserve">the maximum number of SS/PBCH blocks that can be transmitted within the DRS (X) depends on the sub-carrier spacing of the SS/PBCH blocks. </w:t>
      </w:r>
      <w:r w:rsidRPr="005A6B33">
        <w:t xml:space="preserve">In case the gNB decides to transmit a DRS longer than 1 ms, Cat 4 LBT will be used and thus up to X = </w:t>
      </w:r>
      <w:r>
        <w:t xml:space="preserve">L = </w:t>
      </w:r>
      <w:r w:rsidRPr="005A6B33">
        <w:t>8 SS/PBCH blocks can be transmitted.</w:t>
      </w:r>
    </w:p>
    <w:p w14:paraId="1B615A62" w14:textId="535E4371" w:rsidR="00AE66BA" w:rsidRDefault="00AE66BA" w:rsidP="000F39C0">
      <w:pPr>
        <w:pStyle w:val="Observation"/>
        <w:overflowPunct/>
        <w:autoSpaceDE/>
        <w:autoSpaceDN/>
        <w:adjustRightInd/>
        <w:spacing w:line="259" w:lineRule="auto"/>
        <w:textAlignment w:val="auto"/>
      </w:pPr>
      <w:bookmarkStart w:id="30" w:name="_Toc7694076"/>
      <w:bookmarkStart w:id="31" w:name="_Toc16627368"/>
      <w:bookmarkStart w:id="32" w:name="_Toc16883196"/>
      <w:bookmarkStart w:id="33" w:name="_Toc16883407"/>
      <w:bookmarkStart w:id="34" w:name="_Toc16884164"/>
      <w:r w:rsidRPr="00847892">
        <w:t xml:space="preserve">In order to use Cat2 LBT, the duration of the DRS should be less than 1 ms; hence, the maximum </w:t>
      </w:r>
      <w:bookmarkStart w:id="35" w:name="_Toc528677256"/>
      <w:r w:rsidRPr="00847892">
        <w:t xml:space="preserve">number of transmitted SS/PBCH blocks X within the DRS depends on the sub-carrier spacing. For 30 or 15 kHz SCS, X = </w:t>
      </w:r>
      <w:r w:rsidR="00EB78A6">
        <w:t>2</w:t>
      </w:r>
      <w:r w:rsidRPr="00847892">
        <w:t xml:space="preserve"> or </w:t>
      </w:r>
      <w:r w:rsidR="00EB78A6">
        <w:t>1</w:t>
      </w:r>
      <w:r w:rsidRPr="00847892">
        <w:t xml:space="preserve"> results in a DRS duration less than 1 ms, respectively. </w:t>
      </w:r>
      <w:r>
        <w:t>When</w:t>
      </w:r>
      <w:r w:rsidRPr="00847892">
        <w:t xml:space="preserve"> Cat4 </w:t>
      </w:r>
      <w:r w:rsidR="00DB1765">
        <w:t>LBT</w:t>
      </w:r>
      <w:r w:rsidRPr="00847892">
        <w:t xml:space="preserve"> is used, X </w:t>
      </w:r>
      <w:r>
        <w:t xml:space="preserve">= L </w:t>
      </w:r>
      <w:r w:rsidRPr="00847892">
        <w:t xml:space="preserve">= </w:t>
      </w:r>
      <w:r w:rsidR="00DB1765">
        <w:t>4</w:t>
      </w:r>
      <w:r w:rsidRPr="00847892">
        <w:t xml:space="preserve"> can also be supported</w:t>
      </w:r>
      <w:bookmarkEnd w:id="30"/>
      <w:bookmarkEnd w:id="31"/>
      <w:bookmarkEnd w:id="35"/>
      <w:bookmarkEnd w:id="32"/>
      <w:bookmarkEnd w:id="33"/>
      <w:r w:rsidR="00DB1765">
        <w:t>, assuming 1 SSB/slot.</w:t>
      </w:r>
      <w:bookmarkEnd w:id="34"/>
    </w:p>
    <w:p w14:paraId="6C54ACC1" w14:textId="5D133D91" w:rsidR="001001A5" w:rsidRDefault="00543EE3" w:rsidP="00EA35F9">
      <w:pPr>
        <w:pStyle w:val="Heading1"/>
      </w:pPr>
      <w:bookmarkStart w:id="36" w:name="_Toc533002896"/>
      <w:r>
        <w:t>3</w:t>
      </w:r>
      <w:r>
        <w:tab/>
        <w:t>PRACH</w:t>
      </w:r>
      <w:bookmarkEnd w:id="36"/>
      <w:r w:rsidR="008267E7">
        <w:t xml:space="preserve"> Design</w:t>
      </w:r>
    </w:p>
    <w:p w14:paraId="320DB76C" w14:textId="77777777" w:rsidR="008267E7" w:rsidRDefault="008267E7" w:rsidP="008267E7">
      <w:pPr>
        <w:pStyle w:val="BodyText"/>
      </w:pPr>
      <w:r>
        <w:t>In RAN1#97, the following agreement was made regarding sequence design for enhanced PRACH.</w:t>
      </w:r>
    </w:p>
    <w:p w14:paraId="53427862" w14:textId="77777777" w:rsidR="00BE589D" w:rsidRPr="00BE589D" w:rsidRDefault="00BE589D" w:rsidP="00D655E6">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highlight w:val="green"/>
          <w:lang w:eastAsia="en-US"/>
        </w:rPr>
        <w:t>Agreement:</w:t>
      </w:r>
    </w:p>
    <w:p w14:paraId="381132C0" w14:textId="77777777" w:rsidR="00BE589D" w:rsidRPr="00BE589D" w:rsidRDefault="00BE589D" w:rsidP="00D655E6">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lang w:eastAsia="en-US"/>
        </w:rPr>
        <w:t>For a new enhanced design of NR-U PRACH in addition to the Rel-15 design (sequence length of 139) further discussion is limited to the following options</w:t>
      </w:r>
    </w:p>
    <w:p w14:paraId="06D4BFDA" w14:textId="77777777" w:rsidR="00BE589D" w:rsidRPr="00BE589D" w:rsidRDefault="00BE589D" w:rsidP="00D655E6">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ZC sequence of the following lengths</w:t>
      </w:r>
    </w:p>
    <w:p w14:paraId="2AD0C857" w14:textId="77777777" w:rsidR="00BE589D" w:rsidRPr="00BE589D" w:rsidRDefault="00BE589D" w:rsidP="00D655E6">
      <w:pPr>
        <w:numPr>
          <w:ilvl w:val="0"/>
          <w:numId w:val="49"/>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t>15 kHz: Choose one of L_RA=[571, 1151]</w:t>
      </w:r>
    </w:p>
    <w:p w14:paraId="26A289A6" w14:textId="77777777" w:rsidR="00BE589D" w:rsidRPr="00BE589D" w:rsidRDefault="00BE589D" w:rsidP="00D655E6">
      <w:pPr>
        <w:numPr>
          <w:ilvl w:val="0"/>
          <w:numId w:val="49"/>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lastRenderedPageBreak/>
        <w:t>30 kHz: Choose one of L_RA=[283, 571]</w:t>
      </w:r>
    </w:p>
    <w:p w14:paraId="44876931" w14:textId="77777777" w:rsidR="00BE589D" w:rsidRPr="00BE589D" w:rsidRDefault="00BE589D" w:rsidP="00D655E6">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Repetition of Rel-15 PRACH sequences in frequency domain with potentially some mechanisms to improve the cubic metric</w:t>
      </w:r>
    </w:p>
    <w:p w14:paraId="19DB4602" w14:textId="77777777" w:rsidR="00BE589D" w:rsidRPr="00BE589D" w:rsidRDefault="00BE589D" w:rsidP="00D655E6">
      <w:pPr>
        <w:numPr>
          <w:ilvl w:val="1"/>
          <w:numId w:val="48"/>
        </w:numPr>
        <w:overflowPunct/>
        <w:autoSpaceDE/>
        <w:autoSpaceDN/>
        <w:adjustRightInd/>
        <w:spacing w:after="0"/>
        <w:ind w:left="2007"/>
        <w:textAlignment w:val="auto"/>
        <w:rPr>
          <w:rFonts w:ascii="Times" w:eastAsia="Batang" w:hAnsi="Times"/>
          <w:szCs w:val="24"/>
          <w:lang w:eastAsia="en-US"/>
        </w:rPr>
      </w:pPr>
      <w:r w:rsidRPr="00BE589D">
        <w:rPr>
          <w:rFonts w:ascii="Times" w:eastAsia="Batang" w:hAnsi="Times"/>
          <w:szCs w:val="24"/>
          <w:lang w:eastAsia="en-US"/>
        </w:rPr>
        <w:t>Consider one of 2 and 4 repetitions for 30 kHz and one of 4 and 8 repetitions for 15 kHz</w:t>
      </w:r>
    </w:p>
    <w:p w14:paraId="0C197FF7" w14:textId="77777777" w:rsidR="00BE589D" w:rsidRPr="00BE589D" w:rsidRDefault="00BE589D" w:rsidP="00D655E6">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14:paraId="494ED3E9" w14:textId="77777777" w:rsidR="00BE589D" w:rsidRPr="00BE589D" w:rsidRDefault="00BE589D" w:rsidP="00D655E6">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Companies should state any deviations in assumptions from the agreed evaluation assumptions.</w:t>
      </w:r>
    </w:p>
    <w:p w14:paraId="70247FC9" w14:textId="77777777" w:rsidR="00BE589D" w:rsidRDefault="00BE589D" w:rsidP="008267E7">
      <w:pPr>
        <w:pStyle w:val="BodyText"/>
      </w:pPr>
    </w:p>
    <w:p w14:paraId="4687FAE7" w14:textId="28726DDF" w:rsidR="008267E7" w:rsidRDefault="008267E7" w:rsidP="00BE589D">
      <w:pPr>
        <w:overflowPunct/>
        <w:autoSpaceDE/>
        <w:autoSpaceDN/>
        <w:adjustRightInd/>
        <w:spacing w:after="0"/>
        <w:textAlignment w:val="auto"/>
        <w:rPr>
          <w:rFonts w:ascii="Arial" w:hAnsi="Arial"/>
          <w:lang w:eastAsia="zh-CN"/>
        </w:rPr>
      </w:pPr>
      <w:r>
        <w:rPr>
          <w:rFonts w:ascii="Arial" w:hAnsi="Arial"/>
          <w:lang w:eastAsia="zh-CN"/>
        </w:rPr>
        <w:t>Clearly, the main open issue to address for enhanced PRACH design is the sequence type and mapping</w:t>
      </w:r>
      <w:r w:rsidR="00C344D5">
        <w:rPr>
          <w:rFonts w:ascii="Arial" w:hAnsi="Arial"/>
          <w:lang w:eastAsia="zh-CN"/>
        </w:rPr>
        <w:t xml:space="preserve">. Essentially, the alternatives are </w:t>
      </w:r>
      <w:r>
        <w:rPr>
          <w:rFonts w:ascii="Arial" w:hAnsi="Arial"/>
          <w:lang w:eastAsia="zh-CN"/>
        </w:rPr>
        <w:t xml:space="preserve">a single long ZC sequence </w:t>
      </w:r>
      <w:r w:rsidR="00C344D5">
        <w:rPr>
          <w:rFonts w:ascii="Arial" w:hAnsi="Arial"/>
          <w:lang w:eastAsia="zh-CN"/>
        </w:rPr>
        <w:t>vs.</w:t>
      </w:r>
      <w:r>
        <w:rPr>
          <w:rFonts w:ascii="Arial" w:hAnsi="Arial"/>
          <w:lang w:eastAsia="zh-CN"/>
        </w:rPr>
        <w:t xml:space="preserve"> repetition of the legacy ZC sequence</w:t>
      </w:r>
      <w:r w:rsidR="00C344D5">
        <w:rPr>
          <w:rFonts w:ascii="Arial" w:hAnsi="Arial"/>
          <w:lang w:eastAsia="zh-CN"/>
        </w:rPr>
        <w:t xml:space="preserve">, </w:t>
      </w:r>
      <w:r>
        <w:rPr>
          <w:rFonts w:ascii="Arial" w:hAnsi="Arial"/>
          <w:lang w:eastAsia="zh-CN"/>
        </w:rPr>
        <w:t xml:space="preserve">potentially with a mechanism to achieve cubic metric reduction. Another aspect of this agreement is that both an enhanced PRACH design and the legacy Rel-15 design are supported. Hence a </w:t>
      </w:r>
      <w:r w:rsidR="002979BE">
        <w:rPr>
          <w:rFonts w:ascii="Arial" w:hAnsi="Arial"/>
          <w:lang w:eastAsia="zh-CN"/>
        </w:rPr>
        <w:t xml:space="preserve">second open issue is that a </w:t>
      </w:r>
      <w:r>
        <w:rPr>
          <w:rFonts w:ascii="Arial" w:hAnsi="Arial"/>
          <w:lang w:eastAsia="zh-CN"/>
        </w:rPr>
        <w:t xml:space="preserve">mechanism is needed for configuring the sequence type and mapping both for contention based random access (initial access, prior to dedicated configuration), and PDCCH-ordered </w:t>
      </w:r>
      <w:r w:rsidR="002979BE">
        <w:rPr>
          <w:rFonts w:ascii="Arial" w:hAnsi="Arial"/>
          <w:lang w:eastAsia="zh-CN"/>
        </w:rPr>
        <w:t xml:space="preserve">RACH, or CFRA, which occurs after dedicated configuration. A third open issue is what PRACH formats are supported for NR-U (legacy PRACH and new PRACH) as listed in the RAN guidance on essential functionality for NR-U </w:t>
      </w:r>
      <w:r w:rsidR="002979BE">
        <w:rPr>
          <w:rFonts w:ascii="Arial" w:hAnsi="Arial"/>
          <w:lang w:eastAsia="zh-CN"/>
        </w:rPr>
        <w:fldChar w:fldCharType="begin"/>
      </w:r>
      <w:r w:rsidR="002979BE">
        <w:rPr>
          <w:rFonts w:ascii="Arial" w:hAnsi="Arial"/>
          <w:lang w:eastAsia="zh-CN"/>
        </w:rPr>
        <w:instrText xml:space="preserve"> REF _Ref16172201 \r \h  \* MERGEFORMAT </w:instrText>
      </w:r>
      <w:r w:rsidR="002979BE">
        <w:rPr>
          <w:rFonts w:ascii="Arial" w:hAnsi="Arial"/>
          <w:lang w:eastAsia="zh-CN"/>
        </w:rPr>
      </w:r>
      <w:r w:rsidR="002979BE">
        <w:rPr>
          <w:rFonts w:ascii="Arial" w:hAnsi="Arial"/>
          <w:lang w:eastAsia="zh-CN"/>
        </w:rPr>
        <w:fldChar w:fldCharType="separate"/>
      </w:r>
      <w:r w:rsidR="00C64C63">
        <w:rPr>
          <w:rFonts w:ascii="Arial" w:hAnsi="Arial"/>
          <w:lang w:eastAsia="zh-CN"/>
        </w:rPr>
        <w:t>[7]</w:t>
      </w:r>
      <w:r w:rsidR="002979BE">
        <w:rPr>
          <w:rFonts w:ascii="Arial" w:hAnsi="Arial"/>
          <w:lang w:eastAsia="zh-CN"/>
        </w:rPr>
        <w:fldChar w:fldCharType="end"/>
      </w:r>
      <w:r w:rsidR="002979BE">
        <w:rPr>
          <w:rFonts w:ascii="Arial" w:hAnsi="Arial"/>
          <w:lang w:eastAsia="zh-CN"/>
        </w:rPr>
        <w:t>. These open issues are treated in the following three sub-sections.</w:t>
      </w:r>
    </w:p>
    <w:p w14:paraId="2C207253" w14:textId="02AB2777" w:rsidR="008267E7" w:rsidRDefault="008267E7" w:rsidP="00BE589D">
      <w:pPr>
        <w:overflowPunct/>
        <w:autoSpaceDE/>
        <w:autoSpaceDN/>
        <w:adjustRightInd/>
        <w:spacing w:after="0"/>
        <w:textAlignment w:val="auto"/>
        <w:rPr>
          <w:rFonts w:ascii="Arial" w:hAnsi="Arial"/>
          <w:lang w:eastAsia="zh-CN"/>
        </w:rPr>
      </w:pPr>
      <w:r>
        <w:rPr>
          <w:rFonts w:ascii="Arial" w:hAnsi="Arial"/>
          <w:lang w:eastAsia="zh-CN"/>
        </w:rPr>
        <w:t xml:space="preserve"> </w:t>
      </w:r>
    </w:p>
    <w:p w14:paraId="46F26A7B" w14:textId="12695E04" w:rsidR="008267E7" w:rsidRDefault="003F5D46" w:rsidP="008267E7">
      <w:pPr>
        <w:pStyle w:val="Heading2"/>
      </w:pPr>
      <w:r>
        <w:t>3.1</w:t>
      </w:r>
      <w:r>
        <w:tab/>
      </w:r>
      <w:r w:rsidR="00CD5877">
        <w:t>PRACH Sequence Design</w:t>
      </w:r>
    </w:p>
    <w:p w14:paraId="5708C7D2" w14:textId="646B33A6" w:rsidR="00C344D5" w:rsidRDefault="008267E7" w:rsidP="008267E7">
      <w:pPr>
        <w:pStyle w:val="BodyText"/>
      </w:pPr>
      <w:r>
        <w:t xml:space="preserve">In our companion paper </w:t>
      </w:r>
      <w:r>
        <w:fldChar w:fldCharType="begin"/>
      </w:r>
      <w:r>
        <w:instrText xml:space="preserve"> REF _Ref975202 \r \h </w:instrText>
      </w:r>
      <w:r>
        <w:fldChar w:fldCharType="separate"/>
      </w:r>
      <w:r w:rsidR="00C64C63">
        <w:t>[8]</w:t>
      </w:r>
      <w:r>
        <w:fldChar w:fldCharType="end"/>
      </w:r>
      <w:r>
        <w:t>, we present simulation results for</w:t>
      </w:r>
      <w:r w:rsidR="00C344D5">
        <w:t xml:space="preserve"> the following alternatives from the RAN1#97 agreement</w:t>
      </w:r>
      <w:r w:rsidR="00414A47">
        <w:t xml:space="preserve"> above</w:t>
      </w:r>
      <w:r w:rsidR="00C344D5">
        <w:t>:</w:t>
      </w:r>
    </w:p>
    <w:p w14:paraId="55973CC6" w14:textId="77777777" w:rsidR="00C344D5" w:rsidRDefault="00C344D5" w:rsidP="00C344D5">
      <w:pPr>
        <w:pStyle w:val="BodyText"/>
        <w:numPr>
          <w:ilvl w:val="0"/>
          <w:numId w:val="51"/>
        </w:numPr>
      </w:pPr>
      <w:r>
        <w:t>15 kHz</w:t>
      </w:r>
    </w:p>
    <w:p w14:paraId="6176C789" w14:textId="26035B83" w:rsidR="00C344D5" w:rsidRDefault="00C344D5" w:rsidP="00C344D5">
      <w:pPr>
        <w:pStyle w:val="BodyText"/>
        <w:numPr>
          <w:ilvl w:val="1"/>
          <w:numId w:val="51"/>
        </w:numPr>
      </w:pPr>
      <w:r>
        <w:t>ZC sequence of length L_RA = 571</w:t>
      </w:r>
    </w:p>
    <w:p w14:paraId="69DA736C" w14:textId="2DA70D4F" w:rsidR="00C344D5" w:rsidRDefault="00C344D5" w:rsidP="00C344D5">
      <w:pPr>
        <w:pStyle w:val="BodyText"/>
        <w:numPr>
          <w:ilvl w:val="1"/>
          <w:numId w:val="51"/>
        </w:numPr>
      </w:pPr>
      <w:r>
        <w:t>4x repetition of the Rel-15 Z-C sequence of length L_RA = 139</w:t>
      </w:r>
    </w:p>
    <w:p w14:paraId="7CB65C0C" w14:textId="5EE50B3F" w:rsidR="00C344D5" w:rsidRDefault="00C344D5" w:rsidP="00C344D5">
      <w:pPr>
        <w:pStyle w:val="BodyText"/>
        <w:numPr>
          <w:ilvl w:val="2"/>
          <w:numId w:val="51"/>
        </w:numPr>
      </w:pPr>
      <w:r>
        <w:t>With and without CM reduction mechanism</w:t>
      </w:r>
    </w:p>
    <w:p w14:paraId="37388A71" w14:textId="77777777" w:rsidR="00C344D5" w:rsidRDefault="00C344D5" w:rsidP="00C344D5">
      <w:pPr>
        <w:pStyle w:val="BodyText"/>
        <w:numPr>
          <w:ilvl w:val="0"/>
          <w:numId w:val="51"/>
        </w:numPr>
      </w:pPr>
      <w:r>
        <w:t>30 kHz</w:t>
      </w:r>
    </w:p>
    <w:p w14:paraId="072A4813" w14:textId="7021D61B" w:rsidR="00C344D5" w:rsidRDefault="00C344D5" w:rsidP="00C344D5">
      <w:pPr>
        <w:pStyle w:val="BodyText"/>
        <w:numPr>
          <w:ilvl w:val="1"/>
          <w:numId w:val="51"/>
        </w:numPr>
      </w:pPr>
      <w:r>
        <w:t>ZC sequence of length L_RA = 283</w:t>
      </w:r>
    </w:p>
    <w:p w14:paraId="5D1FAD89" w14:textId="13ED66A7" w:rsidR="00C344D5" w:rsidRDefault="00C344D5" w:rsidP="00C344D5">
      <w:pPr>
        <w:pStyle w:val="BodyText"/>
        <w:numPr>
          <w:ilvl w:val="1"/>
          <w:numId w:val="51"/>
        </w:numPr>
      </w:pPr>
      <w:r>
        <w:t>2x repetition of the Rel-15 Z-C sequence of length L_RA = 139</w:t>
      </w:r>
    </w:p>
    <w:p w14:paraId="1587C453" w14:textId="02E908AE" w:rsidR="00C344D5" w:rsidRDefault="00C344D5" w:rsidP="00C344D5">
      <w:pPr>
        <w:pStyle w:val="BodyText"/>
        <w:numPr>
          <w:ilvl w:val="2"/>
          <w:numId w:val="51"/>
        </w:numPr>
      </w:pPr>
      <w:r>
        <w:t>With and without CM reduction mechanism</w:t>
      </w:r>
    </w:p>
    <w:p w14:paraId="11B94BD4" w14:textId="074B1F65" w:rsidR="00C344D5" w:rsidRDefault="00C344D5" w:rsidP="00C344D5">
      <w:pPr>
        <w:pStyle w:val="BodyText"/>
      </w:pPr>
      <w:r>
        <w:t xml:space="preserve">We choose not to </w:t>
      </w:r>
      <w:r w:rsidR="00414A47">
        <w:t>focus on</w:t>
      </w:r>
      <w:r>
        <w:t xml:space="preserve"> </w:t>
      </w:r>
      <w:r w:rsidR="00414A47">
        <w:t xml:space="preserve">the </w:t>
      </w:r>
      <w:r>
        <w:t>full bandwidth</w:t>
      </w:r>
      <w:r w:rsidR="00414A47">
        <w:t xml:space="preserve"> </w:t>
      </w:r>
      <w:r>
        <w:t>RACH</w:t>
      </w:r>
      <w:r w:rsidR="00414A47">
        <w:t xml:space="preserve"> designs (~20 MHz)</w:t>
      </w:r>
      <w:r>
        <w:t xml:space="preserve">, since </w:t>
      </w:r>
      <w:r w:rsidR="00BC7A4A">
        <w:t xml:space="preserve">our view is that it is beneficial to preserve at least </w:t>
      </w:r>
      <w:r w:rsidR="002F2706">
        <w:t>two</w:t>
      </w:r>
      <w:r w:rsidR="00BC7A4A">
        <w:t xml:space="preserve"> </w:t>
      </w:r>
      <w:r w:rsidR="00414A47">
        <w:t xml:space="preserve">frequency domain </w:t>
      </w:r>
      <w:r w:rsidR="00BC7A4A">
        <w:t>RACH occasions (R</w:t>
      </w:r>
      <w:r w:rsidR="00414A47">
        <w:t>O</w:t>
      </w:r>
      <w:r w:rsidR="00BC7A4A">
        <w:t xml:space="preserve">s) compared to Rel-15 </w:t>
      </w:r>
      <w:r w:rsidR="008016E0">
        <w:t>which</w:t>
      </w:r>
      <w:r w:rsidR="00BC7A4A">
        <w:t xml:space="preserve"> supports 8/4 frequency domain </w:t>
      </w:r>
      <w:r w:rsidR="007962C3">
        <w:t>ROs</w:t>
      </w:r>
      <w:r w:rsidR="00BC7A4A">
        <w:t xml:space="preserve"> for 15/30 kHz. Reducing the number of frequency domain </w:t>
      </w:r>
      <w:r w:rsidR="007962C3">
        <w:t>ROs</w:t>
      </w:r>
      <w:r w:rsidR="00BC7A4A">
        <w:t xml:space="preserve"> all the way down to one is not desirable. In our view, maintaining </w:t>
      </w:r>
      <w:r w:rsidR="00414A47">
        <w:t xml:space="preserve">at least </w:t>
      </w:r>
      <w:r w:rsidR="008016E0">
        <w:t>2</w:t>
      </w:r>
      <w:r w:rsidR="00414A47">
        <w:t xml:space="preserve"> ROs </w:t>
      </w:r>
      <w:r w:rsidR="00BC7A4A">
        <w:t xml:space="preserve">provides a reasonable trade-off between cell-level RACH capacity and </w:t>
      </w:r>
      <w:r w:rsidR="00D47523">
        <w:t>total PRACH</w:t>
      </w:r>
      <w:r w:rsidR="00BC7A4A">
        <w:t xml:space="preserve"> transmit power</w:t>
      </w:r>
      <w:r w:rsidR="00D47523">
        <w:t xml:space="preserve"> under the PSD constraint in unlicensed bands</w:t>
      </w:r>
      <w:r w:rsidR="00BC7A4A">
        <w:t xml:space="preserve">. Furthermore, since RACH is of a very temporary nature, our understanding is that the 2 MHz temporal OCB requirement applies to </w:t>
      </w:r>
      <w:r w:rsidR="00D47523">
        <w:t>P</w:t>
      </w:r>
      <w:r w:rsidR="00BC7A4A">
        <w:t xml:space="preserve">RACH transmissions rather than 80% OCB. 2 MHz is achieved even with Rel-15 PRACH, hence wideband </w:t>
      </w:r>
      <w:r w:rsidR="00D47523">
        <w:t>P</w:t>
      </w:r>
      <w:r w:rsidR="00BC7A4A">
        <w:t xml:space="preserve">RACH is motivated by increased transmit power under a PSD constraint rather than </w:t>
      </w:r>
      <w:r w:rsidR="00D47523">
        <w:t xml:space="preserve">80% </w:t>
      </w:r>
      <w:r w:rsidR="00BC7A4A">
        <w:t>OCB.</w:t>
      </w:r>
    </w:p>
    <w:p w14:paraId="16DF0836" w14:textId="6D349586" w:rsidR="007962C3" w:rsidRDefault="007962C3" w:rsidP="00C344D5">
      <w:pPr>
        <w:pStyle w:val="BodyText"/>
      </w:pPr>
      <w:r>
        <w:fldChar w:fldCharType="begin"/>
      </w:r>
      <w:r>
        <w:instrText xml:space="preserve"> REF _Ref16612260 \h </w:instrText>
      </w:r>
      <w:r>
        <w:fldChar w:fldCharType="separate"/>
      </w:r>
      <w:r w:rsidR="00C64C63" w:rsidRPr="007871F2">
        <w:t xml:space="preserve">Figure </w:t>
      </w:r>
      <w:r w:rsidR="00C64C63">
        <w:rPr>
          <w:noProof/>
        </w:rPr>
        <w:t>5</w:t>
      </w:r>
      <w:r>
        <w:fldChar w:fldCharType="end"/>
      </w:r>
      <w:r>
        <w:t xml:space="preserve"> shows the distribution of the cubic metric for the sequence designs in the above list. These plots are replicated from our companion paper </w:t>
      </w:r>
      <w:r>
        <w:fldChar w:fldCharType="begin"/>
      </w:r>
      <w:r>
        <w:instrText xml:space="preserve"> REF _Ref975202 \r \h </w:instrText>
      </w:r>
      <w:r>
        <w:fldChar w:fldCharType="separate"/>
      </w:r>
      <w:r w:rsidR="00C64C63">
        <w:t>[8]</w:t>
      </w:r>
      <w:r>
        <w:fldChar w:fldCharType="end"/>
      </w:r>
      <w:r>
        <w:t xml:space="preserve"> which provides the full details of the evaluations we performed. From these results we find that the 4x Z-C repetition scheme (for 15 kHz) and 2x Z-C repetition scheme (for 30 kHz) </w:t>
      </w:r>
      <w:r w:rsidR="00D47523">
        <w:t>+</w:t>
      </w:r>
      <w:r>
        <w:t xml:space="preserve"> </w:t>
      </w:r>
      <w:r w:rsidR="00D47523">
        <w:t xml:space="preserve">a </w:t>
      </w:r>
      <w:r>
        <w:t>CM reduction mechanism offer superior cubic metric compared to the long Z-C schemes. For the case of 4x repetition, the cubic metric advantage is 1.8 dB.</w:t>
      </w:r>
    </w:p>
    <w:p w14:paraId="5EC2B608" w14:textId="77777777" w:rsidR="007962C3" w:rsidRDefault="007962C3" w:rsidP="00C344D5">
      <w:pPr>
        <w:pStyle w:val="BodyText"/>
      </w:pPr>
    </w:p>
    <w:p w14:paraId="06749988" w14:textId="5691F272" w:rsidR="007962C3" w:rsidRPr="005B280F" w:rsidRDefault="00106456" w:rsidP="007962C3">
      <w:pPr>
        <w:pStyle w:val="BodyText"/>
        <w:tabs>
          <w:tab w:val="center" w:pos="2520"/>
          <w:tab w:val="center" w:pos="7560"/>
        </w:tabs>
        <w:spacing w:after="0"/>
        <w:jc w:val="left"/>
      </w:pPr>
      <w:r w:rsidRPr="0071181F">
        <w:rPr>
          <w:noProof/>
          <w:lang w:val="en-US"/>
        </w:rPr>
        <w:lastRenderedPageBreak/>
        <w:drawing>
          <wp:inline distT="0" distB="0" distL="0" distR="0" wp14:anchorId="380EE671" wp14:editId="2EAB4D86">
            <wp:extent cx="2970000" cy="2224800"/>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007962C3">
        <w:rPr>
          <w:noProof/>
        </w:rPr>
        <mc:AlternateContent>
          <mc:Choice Requires="wps">
            <w:drawing>
              <wp:anchor distT="0" distB="0" distL="114300" distR="114300" simplePos="0" relativeHeight="251655680" behindDoc="0" locked="0" layoutInCell="1" allowOverlap="1" wp14:anchorId="2D0DD061" wp14:editId="05FFD99B">
                <wp:simplePos x="0" y="0"/>
                <wp:positionH relativeFrom="column">
                  <wp:posOffset>3217644</wp:posOffset>
                </wp:positionH>
                <wp:positionV relativeFrom="paragraph">
                  <wp:posOffset>925114</wp:posOffset>
                </wp:positionV>
                <wp:extent cx="2748486" cy="206"/>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748486" cy="206"/>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346AE" id="Straight Connector 2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72.85pt" to="469.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" strokecolor="#ffc000" strokeweight="1pt">
                <v:stroke joinstyle="miter"/>
              </v:line>
            </w:pict>
          </mc:Fallback>
        </mc:AlternateContent>
      </w:r>
      <w:r w:rsidR="007962C3">
        <w:rPr>
          <w:noProof/>
        </w:rPr>
        <mc:AlternateContent>
          <mc:Choice Requires="wps">
            <w:drawing>
              <wp:anchor distT="0" distB="0" distL="114300" distR="114300" simplePos="0" relativeHeight="251657728" behindDoc="0" locked="0" layoutInCell="1" allowOverlap="1" wp14:anchorId="434BC3E9" wp14:editId="4CA788C0">
                <wp:simplePos x="0" y="0"/>
                <wp:positionH relativeFrom="margin">
                  <wp:posOffset>352876</wp:posOffset>
                </wp:positionH>
                <wp:positionV relativeFrom="paragraph">
                  <wp:posOffset>925321</wp:posOffset>
                </wp:positionV>
                <wp:extent cx="2595205" cy="0"/>
                <wp:effectExtent l="0" t="0" r="0" b="0"/>
                <wp:wrapNone/>
                <wp:docPr id="88" name="Straight Connector 88"/>
                <wp:cNvGraphicFramePr/>
                <a:graphic xmlns:a="http://schemas.openxmlformats.org/drawingml/2006/main">
                  <a:graphicData uri="http://schemas.microsoft.com/office/word/2010/wordprocessingShape">
                    <wps:wsp>
                      <wps:cNvCnPr/>
                      <wps:spPr>
                        <a:xfrm>
                          <a:off x="0" y="0"/>
                          <a:ext cx="2595205"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6C6D4A" id="Straight Connector 88"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8pt,72.85pt" to="232.1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" strokecolor="#ffc000" strokeweight="1pt">
                <v:stroke joinstyle="miter"/>
                <w10:wrap anchorx="margin"/>
              </v:line>
            </w:pict>
          </mc:Fallback>
        </mc:AlternateContent>
      </w:r>
      <w:r w:rsidR="007962C3">
        <w:rPr>
          <w:noProof/>
        </w:rPr>
        <mc:AlternateContent>
          <mc:Choice Requires="wps">
            <w:drawing>
              <wp:anchor distT="0" distB="0" distL="114300" distR="114300" simplePos="0" relativeHeight="251656704" behindDoc="0" locked="0" layoutInCell="1" allowOverlap="1" wp14:anchorId="5236160D" wp14:editId="7FF8C490">
                <wp:simplePos x="0" y="0"/>
                <wp:positionH relativeFrom="column">
                  <wp:posOffset>5812224</wp:posOffset>
                </wp:positionH>
                <wp:positionV relativeFrom="paragraph">
                  <wp:posOffset>596213</wp:posOffset>
                </wp:positionV>
                <wp:extent cx="675502" cy="387178"/>
                <wp:effectExtent l="0" t="0" r="0" b="0"/>
                <wp:wrapNone/>
                <wp:docPr id="21" name="Text Box 21"/>
                <wp:cNvGraphicFramePr/>
                <a:graphic xmlns:a="http://schemas.openxmlformats.org/drawingml/2006/main">
                  <a:graphicData uri="http://schemas.microsoft.com/office/word/2010/wordprocessingShape">
                    <wps:wsp>
                      <wps:cNvSpPr txBox="1"/>
                      <wps:spPr>
                        <a:xfrm>
                          <a:off x="0" y="0"/>
                          <a:ext cx="675502" cy="387178"/>
                        </a:xfrm>
                        <a:prstGeom prst="rect">
                          <a:avLst/>
                        </a:prstGeom>
                        <a:noFill/>
                        <a:ln w="6350">
                          <a:noFill/>
                        </a:ln>
                      </wps:spPr>
                      <wps:txbx>
                        <w:txbxContent>
                          <w:p w14:paraId="22C55F3A" w14:textId="77777777" w:rsidR="000E5509" w:rsidRPr="008B69B8" w:rsidRDefault="000E5509" w:rsidP="007962C3">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6160D" id="_x0000_t202" coordsize="21600,21600" o:spt="202" path="m,l,21600r21600,l21600,xe">
                <v:stroke joinstyle="miter"/>
                <v:path gradientshapeok="t" o:connecttype="rect"/>
              </v:shapetype>
              <v:shape id="Text Box 21" o:spid="_x0000_s1026" type="#_x0000_t202" style="position:absolute;margin-left:457.65pt;margin-top:46.95pt;width:53.2pt;height:3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" filled="f" stroked="f" strokeweight=".5pt">
                <v:textbox>
                  <w:txbxContent>
                    <w:p w14:paraId="22C55F3A" w14:textId="77777777" w:rsidR="000E5509" w:rsidRPr="008B69B8" w:rsidRDefault="000E5509" w:rsidP="007962C3">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sidR="007962C3" w:rsidRPr="00A55270">
        <w:tab/>
      </w:r>
      <w:r w:rsidRPr="0071181F">
        <w:rPr>
          <w:noProof/>
          <w:lang w:val="en-US"/>
        </w:rPr>
        <w:drawing>
          <wp:inline distT="0" distB="0" distL="0" distR="0" wp14:anchorId="7ED92E23" wp14:editId="6CCBF238">
            <wp:extent cx="2970000" cy="222480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007962C3" w:rsidRPr="00A55270">
        <w:t xml:space="preserve"> </w:t>
      </w:r>
      <w:r w:rsidR="007962C3" w:rsidRPr="00A55270">
        <w:tab/>
        <w:t>(a)</w:t>
      </w:r>
      <w:r w:rsidR="007962C3" w:rsidRPr="00A55270">
        <w:tab/>
        <w:t>(b)</w:t>
      </w:r>
    </w:p>
    <w:p w14:paraId="4232AC6E" w14:textId="1747AAB0" w:rsidR="007962C3" w:rsidRDefault="007962C3" w:rsidP="00D47523">
      <w:pPr>
        <w:pStyle w:val="Caption"/>
      </w:pPr>
      <w:bookmarkStart w:id="37" w:name="_Ref16612260"/>
      <w:bookmarkStart w:id="38" w:name="_Ref16612254"/>
      <w:r w:rsidRPr="007871F2">
        <w:t xml:space="preserve">Figure </w:t>
      </w:r>
      <w:r w:rsidRPr="005B280F">
        <w:fldChar w:fldCharType="begin"/>
      </w:r>
      <w:r w:rsidRPr="007871F2">
        <w:instrText xml:space="preserve"> SEQ Figure \* ARABIC </w:instrText>
      </w:r>
      <w:r w:rsidRPr="005B280F">
        <w:fldChar w:fldCharType="separate"/>
      </w:r>
      <w:r w:rsidR="00C64C63">
        <w:rPr>
          <w:noProof/>
        </w:rPr>
        <w:t>5</w:t>
      </w:r>
      <w:r w:rsidRPr="005B280F">
        <w:fldChar w:fldCharType="end"/>
      </w:r>
      <w:bookmarkEnd w:id="37"/>
      <w:r w:rsidRPr="00A55270">
        <w:t>: Complementary CDF of CM over all sequences for the different designs</w:t>
      </w:r>
      <w:r>
        <w:t xml:space="preserve"> for (a) 15 kHz SCS, and (b) 30 kHz SCS</w:t>
      </w:r>
      <w:bookmarkEnd w:id="38"/>
    </w:p>
    <w:p w14:paraId="39B8279A" w14:textId="2B64EACC" w:rsidR="006357AD" w:rsidRDefault="006357AD" w:rsidP="006357AD">
      <w:pPr>
        <w:pStyle w:val="BodyText"/>
        <w:jc w:val="left"/>
      </w:pPr>
      <w:r>
        <w:t>Observing</w:t>
      </w:r>
      <w:r w:rsidRPr="007871F2">
        <w:t xml:space="preserve"> </w:t>
      </w:r>
      <w:r w:rsidR="00D47523">
        <w:t>our</w:t>
      </w:r>
      <w:r w:rsidRPr="007871F2">
        <w:t xml:space="preserve"> </w:t>
      </w:r>
      <w:r>
        <w:t xml:space="preserve">full </w:t>
      </w:r>
      <w:r w:rsidR="00D47523">
        <w:t xml:space="preserve">set of </w:t>
      </w:r>
      <w:r>
        <w:t xml:space="preserve">evaluation results in </w:t>
      </w:r>
      <w:r>
        <w:fldChar w:fldCharType="begin"/>
      </w:r>
      <w:r>
        <w:instrText xml:space="preserve"> REF _Ref975202 \r \h </w:instrText>
      </w:r>
      <w:r>
        <w:fldChar w:fldCharType="separate"/>
      </w:r>
      <w:r w:rsidR="00C64C63">
        <w:t>[8]</w:t>
      </w:r>
      <w:r>
        <w:fldChar w:fldCharType="end"/>
      </w:r>
      <w:r>
        <w:t xml:space="preserve">, one can see </w:t>
      </w:r>
      <w:r w:rsidRPr="007871F2">
        <w:t xml:space="preserve">rather similar performance for single long </w:t>
      </w:r>
      <w:r>
        <w:t xml:space="preserve">ZC </w:t>
      </w:r>
      <w:r w:rsidRPr="007871F2">
        <w:t xml:space="preserve">sequence vs. repeated </w:t>
      </w:r>
      <w:r>
        <w:t xml:space="preserve">ZC </w:t>
      </w:r>
      <w:r w:rsidRPr="007871F2">
        <w:t xml:space="preserve">sequence </w:t>
      </w:r>
      <w:r w:rsidR="00D47523">
        <w:t>+</w:t>
      </w:r>
      <w:r w:rsidRPr="007871F2">
        <w:t xml:space="preserve"> CM reduction</w:t>
      </w:r>
      <w:r>
        <w:t xml:space="preserve"> in terms of mis-detection probability, false alarm probability, and timing estimation error</w:t>
      </w:r>
      <w:r w:rsidRPr="007871F2">
        <w:t xml:space="preserve">. Furthermore, the respective schemes have </w:t>
      </w:r>
      <w:r>
        <w:t xml:space="preserve">quite similar </w:t>
      </w:r>
      <w:r w:rsidRPr="007871F2">
        <w:t>MCL</w:t>
      </w:r>
      <w:r>
        <w:t xml:space="preserve"> performance</w:t>
      </w:r>
      <w:r w:rsidRPr="007871F2">
        <w:t>. However, one aspect</w:t>
      </w:r>
      <w:r>
        <w:t xml:space="preserve"> that is masked by the MCL metric definition is the CM advantage </w:t>
      </w:r>
      <w:r w:rsidR="00D47523">
        <w:t>shown above, e.g., 1.8 dB for 4x repetition</w:t>
      </w:r>
      <w:r>
        <w:t xml:space="preserve">. This can become very important for the case of lower power class UEs, where the CM advantage would translate directly to a 1.8 dB smaller power amplifier, </w:t>
      </w:r>
      <w:r w:rsidR="00D47523">
        <w:t xml:space="preserve">which in turn </w:t>
      </w:r>
      <w:r>
        <w:t>translat</w:t>
      </w:r>
      <w:r w:rsidR="00D47523">
        <w:t>es</w:t>
      </w:r>
      <w:r>
        <w:t xml:space="preserve"> to lower cost and </w:t>
      </w:r>
      <w:r w:rsidR="00D47523">
        <w:t xml:space="preserve">lower </w:t>
      </w:r>
      <w:r>
        <w:t>power consumption. Such UE power classes should be considered from a forward compatibility point of view, considering new use cases, e.g., industrial scenarios.</w:t>
      </w:r>
    </w:p>
    <w:p w14:paraId="68D41E67" w14:textId="3D58C0F0" w:rsidR="006357AD" w:rsidRPr="007871F2" w:rsidRDefault="006357AD" w:rsidP="006357AD">
      <w:pPr>
        <w:pStyle w:val="BodyText"/>
        <w:jc w:val="left"/>
      </w:pPr>
      <w:r>
        <w:t>One argument that has been used in favor of the long ZC scheme is that the overall network capacity for RACH is greater compared to the repetition scheme. However, it is debatable whether or not this is important, especially in a small cell scenario. More importantly, the RACH capacity per cell is identical for the long ZC and repeated ZC schemes</w:t>
      </w:r>
      <w:r w:rsidR="00D47523">
        <w:t>.</w:t>
      </w:r>
    </w:p>
    <w:p w14:paraId="74406D7D" w14:textId="12C590C6" w:rsidR="006357AD" w:rsidRPr="007871F2" w:rsidRDefault="006357AD" w:rsidP="006357AD">
      <w:pPr>
        <w:pStyle w:val="BodyText"/>
        <w:jc w:val="left"/>
      </w:pPr>
      <w:r>
        <w:t>Based on these observations, espe</w:t>
      </w:r>
      <w:r w:rsidR="00D47523">
        <w:t>cially</w:t>
      </w:r>
      <w:r w:rsidR="00F6506D">
        <w:t xml:space="preserve"> </w:t>
      </w:r>
      <w:r w:rsidRPr="007871F2">
        <w:t xml:space="preserve">the </w:t>
      </w:r>
      <w:r>
        <w:t>large</w:t>
      </w:r>
      <w:r w:rsidRPr="007871F2">
        <w:t xml:space="preserve"> CM improvement possible from </w:t>
      </w:r>
      <w:r w:rsidR="00D47523">
        <w:t xml:space="preserve">4x </w:t>
      </w:r>
      <w:r w:rsidRPr="007871F2">
        <w:t xml:space="preserve">repetition for 15 kHz SCS, we have a preference for repeated </w:t>
      </w:r>
      <w:r w:rsidR="0057293A">
        <w:t xml:space="preserve">ZC </w:t>
      </w:r>
      <w:r w:rsidRPr="007871F2">
        <w:t>sequence</w:t>
      </w:r>
      <w:r w:rsidR="0057293A">
        <w:t xml:space="preserve"> design with CM reduction mechanism</w:t>
      </w:r>
      <w:r w:rsidRPr="007871F2">
        <w:t xml:space="preserve">. In order to minimize implementation and specification complexity, one should then use </w:t>
      </w:r>
      <w:r w:rsidR="0057293A">
        <w:t xml:space="preserve">the </w:t>
      </w:r>
      <w:r w:rsidRPr="007871F2">
        <w:t xml:space="preserve">repeated </w:t>
      </w:r>
      <w:r w:rsidR="0057293A">
        <w:t xml:space="preserve">ZC </w:t>
      </w:r>
      <w:r w:rsidRPr="007871F2">
        <w:t xml:space="preserve">sequence </w:t>
      </w:r>
      <w:r w:rsidR="0057293A">
        <w:t xml:space="preserve">design </w:t>
      </w:r>
      <w:r w:rsidRPr="007871F2">
        <w:t>also for 30 kHz SCS.</w:t>
      </w:r>
      <w:r>
        <w:t xml:space="preserve"> We acknowledge that we have proposed the opposite previously; however, further investigation has revealed that the CM can be significantly reduced for </w:t>
      </w:r>
      <w:r w:rsidR="0057293A">
        <w:t xml:space="preserve">the </w:t>
      </w:r>
      <w:r>
        <w:t>ZC repetition</w:t>
      </w:r>
      <w:r w:rsidR="0057293A">
        <w:t xml:space="preserve"> scheme</w:t>
      </w:r>
      <w:r>
        <w:t xml:space="preserve"> using very simple phase ramps and common phase shifts, to levels lower than the long ZC scheme</w:t>
      </w:r>
      <w:r w:rsidR="0057293A">
        <w:t>s</w:t>
      </w:r>
      <w:r>
        <w:t xml:space="preserve"> (see details in </w:t>
      </w:r>
      <w:r>
        <w:fldChar w:fldCharType="begin"/>
      </w:r>
      <w:r>
        <w:instrText xml:space="preserve"> REF _Ref975202 \r \h </w:instrText>
      </w:r>
      <w:r>
        <w:fldChar w:fldCharType="separate"/>
      </w:r>
      <w:r w:rsidR="00C64C63">
        <w:t>[8]</w:t>
      </w:r>
      <w:r>
        <w:fldChar w:fldCharType="end"/>
      </w:r>
      <w:r>
        <w:t>). For this reason, we prefer ZC sequence repetitio</w:t>
      </w:r>
      <w:r w:rsidR="0057293A">
        <w:t>n, and we propose the following design:</w:t>
      </w:r>
    </w:p>
    <w:p w14:paraId="02AF80DC" w14:textId="79C7AB17" w:rsidR="00526C4A" w:rsidRPr="00526C4A" w:rsidRDefault="0057293A" w:rsidP="008016E0">
      <w:pPr>
        <w:pStyle w:val="Proposal"/>
        <w:rPr>
          <w:lang w:val="en-US"/>
        </w:rPr>
      </w:pPr>
      <w:bookmarkStart w:id="39" w:name="_Hlk16622858"/>
      <w:bookmarkStart w:id="40" w:name="_Toc16526346"/>
      <w:bookmarkStart w:id="41" w:name="_Toc16606151"/>
      <w:bookmarkStart w:id="42" w:name="_Toc7449540"/>
      <w:bookmarkStart w:id="43" w:name="_Toc16884167"/>
      <w:r>
        <w:t xml:space="preserve">For the enhanced PRACH sequence design, </w:t>
      </w:r>
      <w:r w:rsidR="006357AD" w:rsidRPr="007871F2">
        <w:t>support</w:t>
      </w:r>
      <w:r>
        <w:t xml:space="preserve"> repetition of the Rel-15 Zadoff-Chu sequence of length </w:t>
      </w:r>
      <w:r w:rsidRPr="007871F2">
        <w:t>L</w:t>
      </w:r>
      <w:r w:rsidRPr="007871F2">
        <w:rPr>
          <w:vertAlign w:val="subscript"/>
        </w:rPr>
        <w:t>RA</w:t>
      </w:r>
      <w:r w:rsidRPr="007871F2">
        <w:t xml:space="preserve"> = 139</w:t>
      </w:r>
      <w:r>
        <w:t>. For 30 kHz SCS, support 2 repetitions with sequence values mapped to 278 contiguous subcarriers. For 15 kHz SCS, support 4 repetitions with sequence values mapped to 556 contiguous subcarriers.</w:t>
      </w:r>
      <w:r w:rsidR="00526C4A">
        <w:t xml:space="preserve"> In both cases, </w:t>
      </w:r>
      <w:r>
        <w:t xml:space="preserve">support a </w:t>
      </w:r>
      <w:r w:rsidR="006357AD" w:rsidRPr="007871F2">
        <w:t xml:space="preserve">CM reduction </w:t>
      </w:r>
      <w:r>
        <w:t xml:space="preserve">mechanism </w:t>
      </w:r>
      <w:r w:rsidR="006357AD" w:rsidRPr="007871F2">
        <w:t xml:space="preserve">using </w:t>
      </w:r>
      <w:r w:rsidR="00526C4A">
        <w:t xml:space="preserve">a </w:t>
      </w:r>
      <w:r w:rsidR="006357AD" w:rsidRPr="007871F2">
        <w:t>phas</w:t>
      </w:r>
      <w:r w:rsidR="00526C4A">
        <w:t>e</w:t>
      </w:r>
      <w:r w:rsidR="006357AD" w:rsidRPr="007871F2">
        <w:t xml:space="preserve"> ramp </w:t>
      </w:r>
      <w:r w:rsidR="00526C4A">
        <w:t xml:space="preserve">+ </w:t>
      </w:r>
      <w:r w:rsidR="006357AD">
        <w:t>common</w:t>
      </w:r>
      <w:r w:rsidR="006357AD" w:rsidRPr="007871F2">
        <w:t xml:space="preserve"> </w:t>
      </w:r>
      <w:r w:rsidR="006357AD">
        <w:t>phase shift per repetition</w:t>
      </w:r>
      <w:r w:rsidR="00526C4A">
        <w:t>. The following items are FFS:</w:t>
      </w:r>
      <w:bookmarkEnd w:id="43"/>
    </w:p>
    <w:p w14:paraId="78DDE162" w14:textId="4DB5472F" w:rsidR="00526C4A" w:rsidRPr="00526C4A" w:rsidRDefault="00526C4A" w:rsidP="008016E0">
      <w:pPr>
        <w:pStyle w:val="Proposal"/>
        <w:numPr>
          <w:ilvl w:val="1"/>
          <w:numId w:val="2"/>
        </w:numPr>
        <w:tabs>
          <w:tab w:val="clear" w:pos="1440"/>
          <w:tab w:val="clear" w:pos="1701"/>
          <w:tab w:val="num" w:pos="1710"/>
        </w:tabs>
        <w:ind w:left="1710"/>
        <w:rPr>
          <w:lang w:val="en-US"/>
        </w:rPr>
      </w:pPr>
      <w:bookmarkStart w:id="44" w:name="_Toc16884168"/>
      <w:r w:rsidRPr="00526C4A">
        <w:rPr>
          <w:lang w:val="en-US"/>
        </w:rPr>
        <w:t xml:space="preserve">Phase ramp and common phase shift per repetition, e.g., </w:t>
      </w:r>
      <w:r w:rsidR="0057293A">
        <w:t>values in</w:t>
      </w:r>
      <w:r>
        <w:t xml:space="preserve"> Table 5 and Table 6 </w:t>
      </w:r>
      <w:r w:rsidR="006357AD">
        <w:t xml:space="preserve">in </w:t>
      </w:r>
      <w:r w:rsidR="006357AD">
        <w:fldChar w:fldCharType="begin"/>
      </w:r>
      <w:r w:rsidR="006357AD">
        <w:instrText xml:space="preserve"> REF _Ref975202 \r \h </w:instrText>
      </w:r>
      <w:r w:rsidR="006357AD">
        <w:fldChar w:fldCharType="separate"/>
      </w:r>
      <w:r w:rsidR="00C64C63">
        <w:t>[8]</w:t>
      </w:r>
      <w:r w:rsidR="006357AD">
        <w:fldChar w:fldCharType="end"/>
      </w:r>
      <w:r w:rsidR="006357AD" w:rsidRPr="00A55270">
        <w:t>.</w:t>
      </w:r>
      <w:bookmarkEnd w:id="40"/>
      <w:bookmarkEnd w:id="41"/>
      <w:bookmarkEnd w:id="42"/>
      <w:bookmarkEnd w:id="44"/>
    </w:p>
    <w:p w14:paraId="78D505F4" w14:textId="1CB8BB04" w:rsidR="008267E7" w:rsidRPr="00526C4A" w:rsidRDefault="00526C4A" w:rsidP="008016E0">
      <w:pPr>
        <w:pStyle w:val="Proposal"/>
        <w:numPr>
          <w:ilvl w:val="1"/>
          <w:numId w:val="2"/>
        </w:numPr>
        <w:tabs>
          <w:tab w:val="clear" w:pos="1440"/>
        </w:tabs>
        <w:ind w:left="1710"/>
        <w:rPr>
          <w:lang w:val="en-US"/>
        </w:rPr>
      </w:pPr>
      <w:bookmarkStart w:id="45" w:name="_Toc16884169"/>
      <w:r>
        <w:t>S</w:t>
      </w:r>
      <w:r w:rsidRPr="00A55270">
        <w:t>upported values of cyclic shift spacing N</w:t>
      </w:r>
      <w:r w:rsidRPr="00526C4A">
        <w:rPr>
          <w:vertAlign w:val="subscript"/>
        </w:rPr>
        <w:t>CS</w:t>
      </w:r>
      <w:r w:rsidRPr="00A55270">
        <w:t xml:space="preserve"> as well as mapping of logical sequence index </w:t>
      </w:r>
      <w:r w:rsidRPr="00526C4A">
        <w:rPr>
          <w:i/>
        </w:rPr>
        <w:t>i</w:t>
      </w:r>
      <w:r w:rsidRPr="007871F2">
        <w:t xml:space="preserve"> to sequence number </w:t>
      </w:r>
      <w:r w:rsidRPr="00526C4A">
        <w:rPr>
          <w:i/>
        </w:rPr>
        <w:t xml:space="preserve">u </w:t>
      </w:r>
      <w:r w:rsidRPr="007871F2">
        <w:t>with minimal change to Rel-15.</w:t>
      </w:r>
      <w:bookmarkEnd w:id="45"/>
    </w:p>
    <w:bookmarkEnd w:id="39"/>
    <w:p w14:paraId="6A8333EB" w14:textId="3D4D80D6" w:rsidR="00CD5877" w:rsidRDefault="00CD5877" w:rsidP="003F5D46">
      <w:pPr>
        <w:pStyle w:val="Heading2"/>
      </w:pPr>
      <w:r>
        <w:t>3.2</w:t>
      </w:r>
      <w:r>
        <w:tab/>
        <w:t>Configurability of PRACH Sequence</w:t>
      </w:r>
    </w:p>
    <w:p w14:paraId="358BD4CE" w14:textId="300FFD4A" w:rsidR="00A3349B" w:rsidRDefault="00CD5877" w:rsidP="00913EFD">
      <w:pPr>
        <w:rPr>
          <w:rFonts w:ascii="Arial" w:hAnsi="Arial" w:cs="Arial"/>
          <w:lang w:eastAsia="zh-CN"/>
        </w:rPr>
      </w:pPr>
      <w:r w:rsidRPr="00D655E6">
        <w:rPr>
          <w:rFonts w:ascii="Arial" w:hAnsi="Arial" w:cs="Arial"/>
          <w:lang w:eastAsia="zh-CN"/>
        </w:rPr>
        <w:t xml:space="preserve">In the </w:t>
      </w:r>
      <w:r w:rsidRPr="008267E7">
        <w:rPr>
          <w:rFonts w:ascii="Arial" w:hAnsi="Arial" w:cs="Arial"/>
          <w:lang w:eastAsia="zh-CN"/>
        </w:rPr>
        <w:t>PRACH sequence agreement from last meeting (see previous section) it is stated “</w:t>
      </w:r>
      <w:r w:rsidRPr="00D655E6">
        <w:rPr>
          <w:rFonts w:ascii="Arial" w:eastAsia="Batang" w:hAnsi="Arial" w:cs="Arial"/>
          <w:szCs w:val="24"/>
          <w:lang w:eastAsia="en-US"/>
        </w:rPr>
        <w:t>For a new enhanced design of NR-U PRACH in addition to the Rel-15 design</w:t>
      </w:r>
      <w:r>
        <w:rPr>
          <w:rFonts w:ascii="Arial" w:eastAsia="Batang" w:hAnsi="Arial" w:cs="Arial"/>
          <w:szCs w:val="24"/>
          <w:lang w:eastAsia="en-US"/>
        </w:rPr>
        <w:t>…</w:t>
      </w:r>
      <w:r w:rsidRPr="00D655E6">
        <w:rPr>
          <w:rFonts w:ascii="Arial" w:eastAsia="Batang" w:hAnsi="Arial" w:cs="Arial"/>
          <w:szCs w:val="24"/>
          <w:lang w:eastAsia="en-US"/>
        </w:rPr>
        <w:t>”</w:t>
      </w:r>
      <w:r>
        <w:rPr>
          <w:rFonts w:ascii="Arial" w:eastAsia="Batang" w:hAnsi="Arial" w:cs="Arial"/>
          <w:szCs w:val="24"/>
          <w:lang w:eastAsia="en-US"/>
        </w:rPr>
        <w:t xml:space="preserve"> Our understanding of this agreement as well as prior discussions within the work and study items is that both legacy (Rel-15) and enhanced PRACH </w:t>
      </w:r>
      <w:r w:rsidRPr="00913EFD">
        <w:rPr>
          <w:rFonts w:ascii="Arial" w:hAnsi="Arial" w:cs="Arial"/>
          <w:lang w:eastAsia="zh-CN"/>
        </w:rPr>
        <w:t>designs are to be supported</w:t>
      </w:r>
      <w:r w:rsidR="00913EFD" w:rsidRPr="00913EFD">
        <w:rPr>
          <w:rFonts w:ascii="Arial" w:hAnsi="Arial" w:cs="Arial"/>
          <w:lang w:eastAsia="zh-CN"/>
        </w:rPr>
        <w:t>, and which one to select depends on the deployment scenario</w:t>
      </w:r>
      <w:r w:rsidRPr="00913EFD">
        <w:rPr>
          <w:rFonts w:ascii="Arial" w:hAnsi="Arial" w:cs="Arial"/>
          <w:lang w:eastAsia="zh-CN"/>
        </w:rPr>
        <w:t xml:space="preserve">. In other words, it is an open issue on how the PRACH sequence </w:t>
      </w:r>
      <w:r w:rsidR="00913EFD" w:rsidRPr="00913EFD">
        <w:rPr>
          <w:rFonts w:ascii="Arial" w:hAnsi="Arial" w:cs="Arial"/>
          <w:lang w:eastAsia="zh-CN"/>
        </w:rPr>
        <w:t>type/</w:t>
      </w:r>
      <w:r w:rsidRPr="00913EFD">
        <w:rPr>
          <w:rFonts w:ascii="Arial" w:hAnsi="Arial" w:cs="Arial"/>
          <w:lang w:eastAsia="zh-CN"/>
        </w:rPr>
        <w:t>mapping shall be configured.</w:t>
      </w:r>
    </w:p>
    <w:p w14:paraId="13256325" w14:textId="2157A1F8" w:rsidR="003C33DD" w:rsidRDefault="003C33DD" w:rsidP="00913EFD">
      <w:pPr>
        <w:rPr>
          <w:rFonts w:ascii="Arial" w:hAnsi="Arial" w:cs="Arial"/>
          <w:lang w:eastAsia="zh-CN"/>
        </w:rPr>
      </w:pPr>
      <w:r>
        <w:rPr>
          <w:rFonts w:ascii="Arial" w:hAnsi="Arial" w:cs="Arial"/>
          <w:lang w:eastAsia="zh-CN"/>
        </w:rPr>
        <w:lastRenderedPageBreak/>
        <w:t xml:space="preserve">In Rel-15, the cell-specific random-access parameters are signalled in the IE </w:t>
      </w:r>
      <w:r w:rsidRPr="003C33DD">
        <w:rPr>
          <w:rFonts w:ascii="Arial" w:hAnsi="Arial" w:cs="Arial"/>
          <w:i/>
          <w:lang w:eastAsia="zh-CN"/>
        </w:rPr>
        <w:t>RACH-ConfigCommon</w:t>
      </w:r>
      <w:r>
        <w:rPr>
          <w:rFonts w:ascii="Arial" w:hAnsi="Arial" w:cs="Arial"/>
          <w:lang w:eastAsia="zh-CN"/>
        </w:rPr>
        <w:t xml:space="preserve">. For example, this IE configures the number of random access preambles, </w:t>
      </w:r>
      <w:r>
        <w:rPr>
          <w:rFonts w:ascii="Arial" w:hAnsi="Arial"/>
          <w:lang w:eastAsia="zh-CN"/>
        </w:rPr>
        <w:t>number of frequency domain RACH occasions, the frequency domain (PRB) start position of PRACH, the number of cyclic shifts,</w:t>
      </w:r>
      <w:r>
        <w:rPr>
          <w:rFonts w:ascii="Arial" w:hAnsi="Arial" w:cs="Arial"/>
          <w:lang w:eastAsia="zh-CN"/>
        </w:rPr>
        <w:t xml:space="preserve"> SSB-to-RACH occasion mapping, PRACH root sequence index, etc. For the initial BWP of the PCell, i.e., the cell on which the UE performs initial access, the </w:t>
      </w:r>
      <w:r w:rsidRPr="003C33DD">
        <w:rPr>
          <w:rFonts w:ascii="Arial" w:hAnsi="Arial" w:cs="Arial"/>
          <w:i/>
          <w:lang w:eastAsia="zh-CN"/>
        </w:rPr>
        <w:t>RACH-ConfigCommon</w:t>
      </w:r>
      <w:r>
        <w:rPr>
          <w:rFonts w:ascii="Arial" w:hAnsi="Arial" w:cs="Arial"/>
          <w:lang w:eastAsia="zh-CN"/>
        </w:rPr>
        <w:t xml:space="preserve"> IE is provided by system information, i.e., SIB1. For all other serving cells, the network provides this IE via dedicated (RRC) signalling.</w:t>
      </w:r>
    </w:p>
    <w:p w14:paraId="2D208396" w14:textId="364F5901" w:rsidR="003C33DD" w:rsidRDefault="003C33DD" w:rsidP="003C33DD">
      <w:pPr>
        <w:rPr>
          <w:rFonts w:ascii="Arial" w:hAnsi="Arial"/>
          <w:lang w:eastAsia="zh-CN"/>
        </w:rPr>
      </w:pPr>
      <w:r>
        <w:rPr>
          <w:rFonts w:ascii="Arial" w:hAnsi="Arial"/>
          <w:lang w:eastAsia="zh-CN"/>
        </w:rPr>
        <w:t>Hence, somewhere within the</w:t>
      </w:r>
      <w:r w:rsidRPr="003C33DD">
        <w:rPr>
          <w:rFonts w:ascii="Arial" w:hAnsi="Arial" w:cs="Arial"/>
          <w:i/>
          <w:lang w:eastAsia="zh-CN"/>
        </w:rPr>
        <w:t xml:space="preserve"> RACH-ConfigCommon</w:t>
      </w:r>
      <w:r>
        <w:rPr>
          <w:rFonts w:ascii="Arial" w:hAnsi="Arial" w:cs="Arial"/>
          <w:lang w:eastAsia="zh-CN"/>
        </w:rPr>
        <w:t xml:space="preserve"> IE, it makes sense to also configure </w:t>
      </w:r>
      <w:r w:rsidRPr="00ED4D4F">
        <w:rPr>
          <w:rFonts w:ascii="Arial" w:hAnsi="Arial"/>
          <w:lang w:eastAsia="zh-CN"/>
        </w:rPr>
        <w:t xml:space="preserve">whether </w:t>
      </w:r>
      <w:r>
        <w:rPr>
          <w:rFonts w:ascii="Arial" w:hAnsi="Arial"/>
          <w:lang w:eastAsia="zh-CN"/>
        </w:rPr>
        <w:t xml:space="preserve">the legacy Rel-15 PRACH sequence mapping should be used </w:t>
      </w:r>
      <w:r w:rsidR="009B69D7">
        <w:rPr>
          <w:rFonts w:ascii="Arial" w:hAnsi="Arial"/>
          <w:lang w:eastAsia="zh-CN"/>
        </w:rPr>
        <w:t xml:space="preserve">by the UE </w:t>
      </w:r>
      <w:r>
        <w:rPr>
          <w:rFonts w:ascii="Arial" w:hAnsi="Arial"/>
          <w:lang w:eastAsia="zh-CN"/>
        </w:rPr>
        <w:t xml:space="preserve">or </w:t>
      </w:r>
      <w:r w:rsidR="009B69D7">
        <w:rPr>
          <w:rFonts w:ascii="Arial" w:hAnsi="Arial"/>
          <w:lang w:eastAsia="zh-CN"/>
        </w:rPr>
        <w:t xml:space="preserve">if </w:t>
      </w:r>
      <w:r>
        <w:rPr>
          <w:rFonts w:ascii="Arial" w:hAnsi="Arial"/>
          <w:lang w:eastAsia="zh-CN"/>
        </w:rPr>
        <w:t>the enhanced Rel-16 PRACH sequence mapping should be used</w:t>
      </w:r>
      <w:r w:rsidR="009B69D7">
        <w:rPr>
          <w:rFonts w:ascii="Arial" w:hAnsi="Arial"/>
          <w:lang w:eastAsia="zh-CN"/>
        </w:rPr>
        <w:t>. Based on this we propose the following:</w:t>
      </w:r>
    </w:p>
    <w:p w14:paraId="1A8EE10D" w14:textId="62E2FF87" w:rsidR="00590EBE" w:rsidRPr="00A56C80" w:rsidRDefault="00590EBE" w:rsidP="00590EBE">
      <w:pPr>
        <w:pStyle w:val="Proposal"/>
        <w:tabs>
          <w:tab w:val="clear" w:pos="1304"/>
          <w:tab w:val="num" w:pos="2580"/>
        </w:tabs>
        <w:overflowPunct/>
        <w:autoSpaceDE/>
        <w:autoSpaceDN/>
        <w:adjustRightInd/>
        <w:spacing w:line="259" w:lineRule="auto"/>
        <w:ind w:left="1701" w:hanging="1701"/>
        <w:textAlignment w:val="auto"/>
      </w:pPr>
      <w:bookmarkStart w:id="46" w:name="_Toc16884170"/>
      <w:r w:rsidRPr="0065534E">
        <w:t xml:space="preserve">Support </w:t>
      </w:r>
      <w:r w:rsidR="009B69D7">
        <w:t xml:space="preserve">a parameter in the cell-specific RACH configuration (i.e., </w:t>
      </w:r>
      <w:r w:rsidR="009B69D7" w:rsidRPr="009B69D7">
        <w:rPr>
          <w:i/>
        </w:rPr>
        <w:t>RACH-ConfigCommon</w:t>
      </w:r>
      <w:r w:rsidR="009B69D7">
        <w:t xml:space="preserve">) which indicates to the UE which PRACH sequence mapping shall be used. </w:t>
      </w:r>
      <w:r w:rsidR="00025B84">
        <w:t xml:space="preserve">The configuration choices are (1) legacy Rel-15 sequence mapping, </w:t>
      </w:r>
      <w:r w:rsidR="009B69D7">
        <w:t>or</w:t>
      </w:r>
      <w:r w:rsidR="00025B84">
        <w:t xml:space="preserve"> (2) enhanced Rel-16 mapping</w:t>
      </w:r>
      <w:r w:rsidR="009B69D7">
        <w:t xml:space="preserve">. </w:t>
      </w:r>
      <w:r w:rsidR="00025B84">
        <w:t xml:space="preserve">The enhanced Rel-16 mapping </w:t>
      </w:r>
      <w:r w:rsidR="009B69D7">
        <w:t>details are to be agreed in RAN1 separately. As in Rel-15, the cell-specific RACH configuration is provided to the UE either through SIB1 or dedicated signalling depending on if the cell is a SpCell or SCell, respectively.</w:t>
      </w:r>
      <w:bookmarkEnd w:id="46"/>
    </w:p>
    <w:p w14:paraId="22EF2A27" w14:textId="70D5251E" w:rsidR="003F5D46" w:rsidRDefault="003F5D46" w:rsidP="003F5D46">
      <w:pPr>
        <w:pStyle w:val="Heading2"/>
      </w:pPr>
      <w:r>
        <w:t>3.</w:t>
      </w:r>
      <w:r w:rsidR="00CD5877">
        <w:t>3</w:t>
      </w:r>
      <w:r>
        <w:tab/>
        <w:t>Supported PRACH Formats</w:t>
      </w:r>
    </w:p>
    <w:p w14:paraId="252D756D" w14:textId="5B87D4C4" w:rsidR="005F3DEE" w:rsidRDefault="00575224" w:rsidP="00575224">
      <w:pPr>
        <w:pStyle w:val="BodyText"/>
      </w:pPr>
      <w:r w:rsidRPr="007D0014">
        <w:t>In NR-U, PRACH transmission should be supported for both stand-alone and dual connectivity scenarios. In NR, both long (L = 839) and short (L = 139) preamble sequences are supported</w:t>
      </w:r>
      <w:r w:rsidR="004D21A4">
        <w:t xml:space="preserve">. These are illustrated in </w:t>
      </w:r>
      <w:r w:rsidR="00683018">
        <w:fldChar w:fldCharType="begin"/>
      </w:r>
      <w:r w:rsidR="00683018">
        <w:instrText xml:space="preserve"> REF _Ref7546432 \h </w:instrText>
      </w:r>
      <w:r w:rsidR="00683018">
        <w:fldChar w:fldCharType="separate"/>
      </w:r>
      <w:r w:rsidR="00C64C63">
        <w:t xml:space="preserve">Figure </w:t>
      </w:r>
      <w:r w:rsidR="00C64C63">
        <w:rPr>
          <w:noProof/>
        </w:rPr>
        <w:t>6</w:t>
      </w:r>
      <w:r w:rsidR="00683018">
        <w:fldChar w:fldCharType="end"/>
      </w:r>
      <w:r w:rsidR="00683018">
        <w:t>.</w:t>
      </w:r>
      <w:r>
        <w:t xml:space="preserve"> All formats consist of a Zadoff-Chu sequence </w:t>
      </w:r>
      <w:r w:rsidRPr="00937492">
        <w:rPr>
          <w:i/>
        </w:rPr>
        <w:t>s</w:t>
      </w:r>
      <w:r>
        <w:t xml:space="preserve"> that is repeated one or multiple times without cyclic prefix in between repetitions (only a cyclic prefix </w:t>
      </w:r>
      <w:r>
        <w:rPr>
          <w:i/>
        </w:rPr>
        <w:t>c</w:t>
      </w:r>
      <w:r>
        <w:t xml:space="preserve"> at the very beginning of the preamble). Note that the Bx formats have small guard periods at the end, and Cx formats have larger guards</w:t>
      </w:r>
      <w:r w:rsidR="00683018">
        <w:t xml:space="preserve">. </w:t>
      </w:r>
      <w:r>
        <w:t>For the short formats, multiple preambles can generally be time-multiplexed in a single slot according to the PRACH configuration tables in 38.211.</w:t>
      </w:r>
    </w:p>
    <w:p w14:paraId="0063FC05" w14:textId="422D234B" w:rsidR="00575224" w:rsidRDefault="004D21A4" w:rsidP="00575224">
      <w:pPr>
        <w:keepNext/>
        <w:jc w:val="center"/>
      </w:pPr>
      <w:r>
        <w:rPr>
          <w:noProof/>
        </w:rPr>
        <w:drawing>
          <wp:inline distT="0" distB="0" distL="0" distR="0" wp14:anchorId="382C6AEA" wp14:editId="58AFDD98">
            <wp:extent cx="5943600" cy="31638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163824"/>
                    </a:xfrm>
                    <a:prstGeom prst="rect">
                      <a:avLst/>
                    </a:prstGeom>
                    <a:noFill/>
                  </pic:spPr>
                </pic:pic>
              </a:graphicData>
            </a:graphic>
          </wp:inline>
        </w:drawing>
      </w:r>
    </w:p>
    <w:p w14:paraId="527924BE" w14:textId="06DF0D80" w:rsidR="005F3DEE" w:rsidRDefault="00575224" w:rsidP="00575224">
      <w:pPr>
        <w:pStyle w:val="Caption"/>
        <w:jc w:val="center"/>
      </w:pPr>
      <w:bookmarkStart w:id="47" w:name="_Ref7546432"/>
      <w:r>
        <w:t xml:space="preserve">Figure </w:t>
      </w:r>
      <w:r w:rsidR="00D464D2">
        <w:rPr>
          <w:noProof/>
        </w:rPr>
        <w:fldChar w:fldCharType="begin"/>
      </w:r>
      <w:r w:rsidR="00D464D2">
        <w:rPr>
          <w:noProof/>
        </w:rPr>
        <w:instrText xml:space="preserve"> SEQ Figure \* ARABIC </w:instrText>
      </w:r>
      <w:r w:rsidR="00D464D2">
        <w:rPr>
          <w:noProof/>
        </w:rPr>
        <w:fldChar w:fldCharType="separate"/>
      </w:r>
      <w:r w:rsidR="00C64C63">
        <w:rPr>
          <w:noProof/>
        </w:rPr>
        <w:t>6</w:t>
      </w:r>
      <w:r w:rsidR="00D464D2">
        <w:rPr>
          <w:noProof/>
        </w:rPr>
        <w:fldChar w:fldCharType="end"/>
      </w:r>
      <w:bookmarkEnd w:id="47"/>
      <w:r>
        <w:t>: PRACH formats specified in Rel-15. Note that formats Bx and Cx have guard periods at the end of the preamble transmission.</w:t>
      </w:r>
    </w:p>
    <w:p w14:paraId="290D5791" w14:textId="677CEC04" w:rsidR="004D21A4" w:rsidRDefault="004D21A4" w:rsidP="004D21A4">
      <w:pPr>
        <w:pStyle w:val="BodyText"/>
      </w:pPr>
      <w:r w:rsidRPr="007D0014">
        <w:t xml:space="preserve">The long </w:t>
      </w:r>
      <w:r>
        <w:t>formats</w:t>
      </w:r>
      <w:r w:rsidRPr="007D0014">
        <w:t xml:space="preserve"> </w:t>
      </w:r>
      <w:r>
        <w:t xml:space="preserve">(L = 839) </w:t>
      </w:r>
      <w:r w:rsidRPr="007D0014">
        <w:t>mainly target large cell deployment</w:t>
      </w:r>
      <w:r>
        <w:t>s</w:t>
      </w:r>
      <w:r w:rsidRPr="007D0014">
        <w:t xml:space="preserve">. Since NR-U is expected to be deployed in relatively small cells, </w:t>
      </w:r>
      <w:r>
        <w:t xml:space="preserve">the long formats are not of particular interest </w:t>
      </w:r>
      <w:r w:rsidRPr="007D0014">
        <w:t>for NR-U operations.</w:t>
      </w:r>
      <w:r w:rsidR="00683018">
        <w:t xml:space="preserve"> </w:t>
      </w:r>
      <w:r>
        <w:t>Despite the fact that NR Rel-15 supports multiple formats, and not all are relevant for NR-U operations</w:t>
      </w:r>
      <w:r w:rsidR="00683018">
        <w:t>,</w:t>
      </w:r>
      <w:r>
        <w:t xml:space="preserve"> it does not mean that certain formats should be excluded from the specifications. Generally speaking, as long as Rel-15 offers configuration options that are beneficial for</w:t>
      </w:r>
      <w:r w:rsidR="00175B9F">
        <w:t xml:space="preserve"> NR-U operation</w:t>
      </w:r>
      <w:r>
        <w:t>, then it is a matter of configuration to select the appropriate format from the ones already available in the specification. In this sense, we see no need to explicitly exclude certain formats.</w:t>
      </w:r>
    </w:p>
    <w:p w14:paraId="3BAB1240" w14:textId="680AC812" w:rsidR="00543EE3" w:rsidRDefault="00683018" w:rsidP="00683018">
      <w:pPr>
        <w:pStyle w:val="Proposal"/>
      </w:pPr>
      <w:bookmarkStart w:id="48" w:name="_Toc16884171"/>
      <w:r>
        <w:lastRenderedPageBreak/>
        <w:t>Existing Rel-15 PRACH configuration tables which include all PRACH formats may be reused for NR-U operations.</w:t>
      </w:r>
      <w:bookmarkEnd w:id="48"/>
    </w:p>
    <w:p w14:paraId="7DBB8471" w14:textId="547CF001" w:rsidR="00543EE3" w:rsidRDefault="00543EE3" w:rsidP="00543EE3">
      <w:pPr>
        <w:pStyle w:val="Heading1"/>
      </w:pPr>
      <w:bookmarkStart w:id="49" w:name="_Toc533002899"/>
      <w:r>
        <w:t>4</w:t>
      </w:r>
      <w:r>
        <w:tab/>
      </w:r>
      <w:r w:rsidRPr="00CE0424">
        <w:t>Conclusion</w:t>
      </w:r>
      <w:bookmarkStart w:id="50" w:name="_GoBack"/>
      <w:bookmarkEnd w:id="49"/>
      <w:bookmarkEnd w:id="50"/>
    </w:p>
    <w:p w14:paraId="1DD4EA73" w14:textId="77777777" w:rsidR="00543EE3" w:rsidRPr="007D0014" w:rsidRDefault="00543EE3" w:rsidP="00543EE3">
      <w:pPr>
        <w:pStyle w:val="BodyText"/>
      </w:pPr>
      <w:r w:rsidRPr="007D0014">
        <w:t>Based on the discussion in this paper we observed the following:</w:t>
      </w:r>
    </w:p>
    <w:p w14:paraId="3AEAD791" w14:textId="77777777" w:rsidR="00C64C63" w:rsidRPr="00363432" w:rsidRDefault="00543EE3" w:rsidP="00363432">
      <w:pPr>
        <w:pStyle w:val="TOC1"/>
        <w:tabs>
          <w:tab w:val="left" w:pos="1701"/>
        </w:tabs>
        <w:ind w:left="1710" w:hanging="1710"/>
        <w:rPr>
          <w:rFonts w:ascii="Arial" w:eastAsiaTheme="minorEastAsia" w:hAnsi="Arial" w:cs="Arial"/>
          <w:b/>
          <w:sz w:val="20"/>
          <w:lang w:val="en-US" w:eastAsia="en-US"/>
        </w:rPr>
      </w:pPr>
      <w:r w:rsidRPr="00363432">
        <w:rPr>
          <w:rStyle w:val="Hyperlink"/>
          <w:rFonts w:ascii="Arial" w:hAnsi="Arial" w:cs="Arial"/>
          <w:b/>
          <w:color w:val="auto"/>
          <w:sz w:val="20"/>
          <w:u w:val="none"/>
        </w:rPr>
        <w:fldChar w:fldCharType="begin"/>
      </w:r>
      <w:r w:rsidRPr="00363432">
        <w:rPr>
          <w:rStyle w:val="Hyperlink"/>
          <w:rFonts w:ascii="Arial" w:hAnsi="Arial" w:cs="Arial"/>
          <w:b/>
          <w:color w:val="auto"/>
          <w:sz w:val="20"/>
          <w:u w:val="none"/>
        </w:rPr>
        <w:instrText xml:space="preserve"> TOC \n \t "Observation,1" </w:instrText>
      </w:r>
      <w:r w:rsidRPr="00363432">
        <w:rPr>
          <w:rStyle w:val="Hyperlink"/>
          <w:rFonts w:ascii="Arial" w:hAnsi="Arial" w:cs="Arial"/>
          <w:b/>
          <w:color w:val="auto"/>
          <w:sz w:val="20"/>
          <w:u w:val="none"/>
        </w:rPr>
        <w:fldChar w:fldCharType="separate"/>
      </w:r>
      <w:r w:rsidR="00C64C63" w:rsidRPr="00363432">
        <w:rPr>
          <w:rFonts w:ascii="Arial" w:hAnsi="Arial" w:cs="Arial"/>
          <w:b/>
          <w:sz w:val="20"/>
        </w:rPr>
        <w:t>Observation 1</w:t>
      </w:r>
      <w:r w:rsidR="00C64C63" w:rsidRPr="00363432">
        <w:rPr>
          <w:rFonts w:ascii="Arial" w:eastAsiaTheme="minorEastAsia" w:hAnsi="Arial" w:cs="Arial"/>
          <w:b/>
          <w:sz w:val="20"/>
          <w:lang w:val="en-US" w:eastAsia="en-US"/>
        </w:rPr>
        <w:tab/>
      </w:r>
      <w:r w:rsidR="00C64C63" w:rsidRPr="00363432">
        <w:rPr>
          <w:rFonts w:ascii="Arial" w:hAnsi="Arial" w:cs="Arial"/>
          <w:b/>
          <w:sz w:val="20"/>
        </w:rPr>
        <w:t>DCI format 1_0 used to schedule PDSCH carrying SIB1 supports only Type1 PDSCH resource allocation (contiguous RBs) in the frequency domain.</w:t>
      </w:r>
    </w:p>
    <w:p w14:paraId="5E5CBA4E" w14:textId="77777777" w:rsidR="00C64C63" w:rsidRPr="00363432" w:rsidRDefault="00C64C63" w:rsidP="00363432">
      <w:pPr>
        <w:pStyle w:val="TOC1"/>
        <w:tabs>
          <w:tab w:val="left" w:pos="1701"/>
        </w:tabs>
        <w:ind w:left="1710" w:hanging="1710"/>
        <w:rPr>
          <w:rFonts w:asciiTheme="minorHAnsi" w:eastAsiaTheme="minorEastAsia" w:hAnsiTheme="minorHAnsi" w:cstheme="minorBidi"/>
          <w:b/>
          <w:szCs w:val="22"/>
          <w:lang w:val="en-US" w:eastAsia="en-US"/>
        </w:rPr>
      </w:pPr>
      <w:r w:rsidRPr="00363432">
        <w:rPr>
          <w:rFonts w:ascii="Arial" w:hAnsi="Arial" w:cs="Arial"/>
          <w:b/>
          <w:sz w:val="20"/>
        </w:rPr>
        <w:t>Observation 2</w:t>
      </w:r>
      <w:r w:rsidRPr="00363432">
        <w:rPr>
          <w:rFonts w:ascii="Arial" w:eastAsiaTheme="minorEastAsia" w:hAnsi="Arial" w:cs="Arial"/>
          <w:b/>
          <w:sz w:val="20"/>
          <w:lang w:val="en-US" w:eastAsia="en-US"/>
        </w:rPr>
        <w:tab/>
      </w:r>
      <w:r w:rsidRPr="00363432">
        <w:rPr>
          <w:rFonts w:ascii="Arial" w:hAnsi="Arial" w:cs="Arial"/>
          <w:b/>
          <w:sz w:val="20"/>
        </w:rPr>
        <w:t>In order to use Cat2 LBT, the duration of the DRS should be less than 1 ms; hence, the maximum number of transmitted SS/PBCH blocks X within the DRS depends on the sub-carrier spacing. For 30 or 15 kHz SCS, X = 2 or 1 results in a DRS duration less than 1 ms, respectively. When Cat4 LBT is used, X = L = 4 can also be supported, assuming 1 SSB/slot.</w:t>
      </w:r>
    </w:p>
    <w:p w14:paraId="4257F13A" w14:textId="6C169F51" w:rsidR="00543EE3" w:rsidRPr="00200B8D" w:rsidRDefault="00543EE3" w:rsidP="00546108">
      <w:pPr>
        <w:pStyle w:val="TableofFigures"/>
        <w:tabs>
          <w:tab w:val="right" w:leader="dot" w:pos="9629"/>
        </w:tabs>
        <w:ind w:left="1710" w:hanging="1710"/>
      </w:pPr>
      <w:r w:rsidRPr="00363432">
        <w:rPr>
          <w:rStyle w:val="Hyperlink"/>
          <w:rFonts w:cs="Arial"/>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393AECC6" w14:textId="3B539769" w:rsidR="00C64C63" w:rsidRDefault="00543EE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16884165" w:history="1">
        <w:r w:rsidR="00C64C63" w:rsidRPr="00D44196">
          <w:rPr>
            <w:rStyle w:val="Hyperlink"/>
            <w:noProof/>
          </w:rPr>
          <w:t>Proposal 1</w:t>
        </w:r>
        <w:r w:rsidR="00C64C63">
          <w:rPr>
            <w:rFonts w:asciiTheme="minorHAnsi" w:eastAsiaTheme="minorEastAsia" w:hAnsiTheme="minorHAnsi" w:cstheme="minorBidi"/>
            <w:b w:val="0"/>
            <w:noProof/>
            <w:sz w:val="22"/>
            <w:szCs w:val="22"/>
            <w:lang w:val="en-US" w:eastAsia="en-US"/>
          </w:rPr>
          <w:tab/>
        </w:r>
        <w:r w:rsidR="00C64C63" w:rsidRPr="00D44196">
          <w:rPr>
            <w:rStyle w:val="Hyperlink"/>
            <w:noProof/>
          </w:rPr>
          <w:t>For CORESET0 bandwidth of 48 PRBs and {SS/PBCH block, PDCCH} SCS of {30, 30} kHz support [0 and 1] PRB offset between CORESET0 and SS/PBCH blocks.</w:t>
        </w:r>
      </w:hyperlink>
    </w:p>
    <w:p w14:paraId="249A3E06" w14:textId="27C67A19" w:rsidR="00C64C63" w:rsidRDefault="00C64C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84166" w:history="1">
        <w:r w:rsidRPr="00D44196">
          <w:rPr>
            <w:rStyle w:val="Hyperlink"/>
            <w:noProof/>
          </w:rPr>
          <w:t>Proposal 2</w:t>
        </w:r>
        <w:r>
          <w:rPr>
            <w:rFonts w:asciiTheme="minorHAnsi" w:eastAsiaTheme="minorEastAsia" w:hAnsiTheme="minorHAnsi" w:cstheme="minorBidi"/>
            <w:b w:val="0"/>
            <w:noProof/>
            <w:sz w:val="22"/>
            <w:szCs w:val="22"/>
            <w:lang w:val="en-US" w:eastAsia="en-US"/>
          </w:rPr>
          <w:tab/>
        </w:r>
        <w:r w:rsidRPr="00D44196">
          <w:rPr>
            <w:rStyle w:val="Hyperlink"/>
            <w:noProof/>
          </w:rPr>
          <w:t>In line with NR Rel-15, mapping of SIB1 around an SS/PBCH block is not supported.</w:t>
        </w:r>
      </w:hyperlink>
    </w:p>
    <w:p w14:paraId="4C4A3AB4" w14:textId="2E3F41F6" w:rsidR="00C64C63" w:rsidRDefault="00C64C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84167" w:history="1">
        <w:r w:rsidRPr="00D44196">
          <w:rPr>
            <w:rStyle w:val="Hyperlink"/>
            <w:noProof/>
            <w:lang w:val="en-US"/>
          </w:rPr>
          <w:t>Proposal 3</w:t>
        </w:r>
        <w:r>
          <w:rPr>
            <w:rFonts w:asciiTheme="minorHAnsi" w:eastAsiaTheme="minorEastAsia" w:hAnsiTheme="minorHAnsi" w:cstheme="minorBidi"/>
            <w:b w:val="0"/>
            <w:noProof/>
            <w:sz w:val="22"/>
            <w:szCs w:val="22"/>
            <w:lang w:val="en-US" w:eastAsia="en-US"/>
          </w:rPr>
          <w:tab/>
        </w:r>
        <w:r w:rsidRPr="00D44196">
          <w:rPr>
            <w:rStyle w:val="Hyperlink"/>
            <w:noProof/>
          </w:rPr>
          <w:t>For the enhanced PRACH sequence design, support repetition of the Rel-15 Zadoff-Chu sequence of length L</w:t>
        </w:r>
        <w:r w:rsidRPr="00D44196">
          <w:rPr>
            <w:rStyle w:val="Hyperlink"/>
            <w:noProof/>
            <w:vertAlign w:val="subscript"/>
          </w:rPr>
          <w:t>RA</w:t>
        </w:r>
        <w:r w:rsidRPr="00D44196">
          <w:rPr>
            <w:rStyle w:val="Hyperlink"/>
            <w:noProof/>
          </w:rPr>
          <w:t xml:space="preserve">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hyperlink>
    </w:p>
    <w:p w14:paraId="56BAF304" w14:textId="5D741841" w:rsidR="00C64C63" w:rsidRDefault="00C64C63" w:rsidP="00363432">
      <w:pPr>
        <w:pStyle w:val="TableofFigures"/>
        <w:tabs>
          <w:tab w:val="right" w:leader="dot" w:pos="9629"/>
        </w:tabs>
        <w:ind w:left="2070" w:hanging="369"/>
        <w:rPr>
          <w:rFonts w:asciiTheme="minorHAnsi" w:eastAsiaTheme="minorEastAsia" w:hAnsiTheme="minorHAnsi" w:cstheme="minorBidi"/>
          <w:b w:val="0"/>
          <w:noProof/>
          <w:sz w:val="22"/>
          <w:szCs w:val="22"/>
          <w:lang w:val="en-US" w:eastAsia="en-US"/>
        </w:rPr>
      </w:pPr>
      <w:hyperlink w:anchor="_Toc16884168" w:history="1">
        <w:r w:rsidRPr="00D44196">
          <w:rPr>
            <w:rStyle w:val="Hyperlink"/>
            <w:noProof/>
            <w:lang w:val="en-US"/>
          </w:rPr>
          <w:t>a.</w:t>
        </w:r>
        <w:r>
          <w:rPr>
            <w:rFonts w:asciiTheme="minorHAnsi" w:eastAsiaTheme="minorEastAsia" w:hAnsiTheme="minorHAnsi" w:cstheme="minorBidi"/>
            <w:b w:val="0"/>
            <w:noProof/>
            <w:sz w:val="22"/>
            <w:szCs w:val="22"/>
            <w:lang w:val="en-US" w:eastAsia="en-US"/>
          </w:rPr>
          <w:tab/>
        </w:r>
        <w:r w:rsidRPr="00D44196">
          <w:rPr>
            <w:rStyle w:val="Hyperlink"/>
            <w:noProof/>
            <w:lang w:val="en-US"/>
          </w:rPr>
          <w:t xml:space="preserve">Phase ramp and common phase shift per repetition, e.g., </w:t>
        </w:r>
        <w:r w:rsidRPr="00D44196">
          <w:rPr>
            <w:rStyle w:val="Hyperlink"/>
            <w:noProof/>
          </w:rPr>
          <w:t>values in Table 5 and Table 6 in [8].</w:t>
        </w:r>
      </w:hyperlink>
    </w:p>
    <w:p w14:paraId="5D09C24F" w14:textId="4CCF4D77" w:rsidR="00C64C63" w:rsidRDefault="00C64C63" w:rsidP="00363432">
      <w:pPr>
        <w:pStyle w:val="TableofFigures"/>
        <w:tabs>
          <w:tab w:val="right" w:leader="dot" w:pos="9629"/>
        </w:tabs>
        <w:ind w:left="2070" w:hanging="369"/>
        <w:rPr>
          <w:rFonts w:asciiTheme="minorHAnsi" w:eastAsiaTheme="minorEastAsia" w:hAnsiTheme="minorHAnsi" w:cstheme="minorBidi"/>
          <w:b w:val="0"/>
          <w:noProof/>
          <w:sz w:val="22"/>
          <w:szCs w:val="22"/>
          <w:lang w:val="en-US" w:eastAsia="en-US"/>
        </w:rPr>
      </w:pPr>
      <w:hyperlink w:anchor="_Toc16884169" w:history="1">
        <w:r w:rsidRPr="00D44196">
          <w:rPr>
            <w:rStyle w:val="Hyperlink"/>
            <w:noProof/>
            <w:lang w:val="en-US"/>
          </w:rPr>
          <w:t>b.</w:t>
        </w:r>
        <w:r>
          <w:rPr>
            <w:rFonts w:asciiTheme="minorHAnsi" w:eastAsiaTheme="minorEastAsia" w:hAnsiTheme="minorHAnsi" w:cstheme="minorBidi"/>
            <w:b w:val="0"/>
            <w:noProof/>
            <w:sz w:val="22"/>
            <w:szCs w:val="22"/>
            <w:lang w:val="en-US" w:eastAsia="en-US"/>
          </w:rPr>
          <w:tab/>
        </w:r>
        <w:r w:rsidRPr="00D44196">
          <w:rPr>
            <w:rStyle w:val="Hyperlink"/>
            <w:noProof/>
          </w:rPr>
          <w:t>Supported values of cyclic shift spacing N</w:t>
        </w:r>
        <w:r w:rsidRPr="00D44196">
          <w:rPr>
            <w:rStyle w:val="Hyperlink"/>
            <w:noProof/>
            <w:vertAlign w:val="subscript"/>
          </w:rPr>
          <w:t>CS</w:t>
        </w:r>
        <w:r w:rsidRPr="00D44196">
          <w:rPr>
            <w:rStyle w:val="Hyperlink"/>
            <w:noProof/>
          </w:rPr>
          <w:t xml:space="preserve"> as well as mapping of logical sequence index </w:t>
        </w:r>
        <w:r w:rsidRPr="00D44196">
          <w:rPr>
            <w:rStyle w:val="Hyperlink"/>
            <w:i/>
            <w:noProof/>
          </w:rPr>
          <w:t>i</w:t>
        </w:r>
        <w:r w:rsidRPr="00D44196">
          <w:rPr>
            <w:rStyle w:val="Hyperlink"/>
            <w:noProof/>
          </w:rPr>
          <w:t xml:space="preserve"> to sequence number </w:t>
        </w:r>
        <w:r w:rsidRPr="00D44196">
          <w:rPr>
            <w:rStyle w:val="Hyperlink"/>
            <w:i/>
            <w:noProof/>
          </w:rPr>
          <w:t xml:space="preserve">u </w:t>
        </w:r>
        <w:r w:rsidRPr="00D44196">
          <w:rPr>
            <w:rStyle w:val="Hyperlink"/>
            <w:noProof/>
          </w:rPr>
          <w:t>with minimal change to Rel-15.</w:t>
        </w:r>
      </w:hyperlink>
    </w:p>
    <w:p w14:paraId="5A703314" w14:textId="5069D09B" w:rsidR="00C64C63" w:rsidRDefault="00C64C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84170" w:history="1">
        <w:r w:rsidRPr="00D44196">
          <w:rPr>
            <w:rStyle w:val="Hyperlink"/>
            <w:noProof/>
          </w:rPr>
          <w:t>Proposal 4</w:t>
        </w:r>
        <w:r>
          <w:rPr>
            <w:rFonts w:asciiTheme="minorHAnsi" w:eastAsiaTheme="minorEastAsia" w:hAnsiTheme="minorHAnsi" w:cstheme="minorBidi"/>
            <w:b w:val="0"/>
            <w:noProof/>
            <w:sz w:val="22"/>
            <w:szCs w:val="22"/>
            <w:lang w:val="en-US" w:eastAsia="en-US"/>
          </w:rPr>
          <w:tab/>
        </w:r>
        <w:r w:rsidRPr="00D44196">
          <w:rPr>
            <w:rStyle w:val="Hyperlink"/>
            <w:noProof/>
          </w:rPr>
          <w:t xml:space="preserve">Support a parameter in the cell-specific RACH configuration (i.e., </w:t>
        </w:r>
        <w:r w:rsidRPr="00D44196">
          <w:rPr>
            <w:rStyle w:val="Hyperlink"/>
            <w:i/>
            <w:noProof/>
          </w:rPr>
          <w:t>RACH-ConfigCommon</w:t>
        </w:r>
        <w:r w:rsidRPr="00D44196">
          <w:rPr>
            <w:rStyle w:val="Hyperlink"/>
            <w:noProof/>
          </w:rPr>
          <w:t>) which indicates to the UE which PRACH sequence mapping shall be used. The configuration choices are (1) legacy Rel-15 sequence mapping, or (2) enhanced Rel-16 mapping. The enhanced Rel-16 mapping details are to be agreed in RAN1 separately. As in Rel-15, the cell-specific RACH configuration is provided to the UE either through SIB1 or dedicated signalling depending on if the cell is a SpCell or SCell, respectively.</w:t>
        </w:r>
      </w:hyperlink>
    </w:p>
    <w:p w14:paraId="1D647310" w14:textId="4778ED0F" w:rsidR="00C64C63" w:rsidRDefault="00C64C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84171" w:history="1">
        <w:r w:rsidRPr="00D44196">
          <w:rPr>
            <w:rStyle w:val="Hyperlink"/>
            <w:noProof/>
          </w:rPr>
          <w:t>Proposal 5</w:t>
        </w:r>
        <w:r>
          <w:rPr>
            <w:rFonts w:asciiTheme="minorHAnsi" w:eastAsiaTheme="minorEastAsia" w:hAnsiTheme="minorHAnsi" w:cstheme="minorBidi"/>
            <w:b w:val="0"/>
            <w:noProof/>
            <w:sz w:val="22"/>
            <w:szCs w:val="22"/>
            <w:lang w:val="en-US" w:eastAsia="en-US"/>
          </w:rPr>
          <w:tab/>
        </w:r>
        <w:r w:rsidRPr="00D44196">
          <w:rPr>
            <w:rStyle w:val="Hyperlink"/>
            <w:noProof/>
          </w:rPr>
          <w:t>Existing Rel-15 PRACH configuration tables which include all PRACH formats may be reused for NR-U operations.</w:t>
        </w:r>
      </w:hyperlink>
    </w:p>
    <w:p w14:paraId="4A86081C" w14:textId="6429F8CE"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51" w:name="_In-sequence_SDU_delivery"/>
      <w:bookmarkStart w:id="52" w:name="_Toc533002900"/>
      <w:bookmarkEnd w:id="51"/>
      <w:r>
        <w:t>5</w:t>
      </w:r>
      <w:r>
        <w:tab/>
      </w:r>
      <w:r w:rsidRPr="00CE0424">
        <w:t>References</w:t>
      </w:r>
      <w:bookmarkEnd w:id="52"/>
    </w:p>
    <w:p w14:paraId="697B0E1E" w14:textId="045CBE03" w:rsidR="00543EE3" w:rsidRDefault="00543EE3" w:rsidP="00543EE3">
      <w:pPr>
        <w:pStyle w:val="Reference"/>
        <w:overflowPunct/>
        <w:autoSpaceDE/>
        <w:autoSpaceDN/>
        <w:adjustRightInd/>
        <w:spacing w:line="259" w:lineRule="auto"/>
        <w:textAlignment w:val="auto"/>
      </w:pPr>
      <w:bookmarkStart w:id="53" w:name="_Ref534117348"/>
      <w:bookmarkStart w:id="54" w:name="_Ref513463230"/>
      <w:bookmarkStart w:id="55" w:name="_Ref513478501"/>
      <w:bookmarkStart w:id="56" w:name="_Ref521528405"/>
      <w:bookmarkStart w:id="57" w:name="_Ref174151459"/>
      <w:bookmarkStart w:id="58" w:name="_Ref189809556"/>
      <w:r w:rsidRPr="000B4707">
        <w:t>3GPP TR 38.889, “Study on NR-based access to unlicensed spectrum,” v16.0.0, December 2018.</w:t>
      </w:r>
      <w:bookmarkEnd w:id="53"/>
    </w:p>
    <w:p w14:paraId="74F22E36" w14:textId="546447D0" w:rsidR="00F23AAF" w:rsidRDefault="00F23AAF" w:rsidP="00543EE3">
      <w:pPr>
        <w:pStyle w:val="Reference"/>
        <w:overflowPunct/>
        <w:autoSpaceDE/>
        <w:autoSpaceDN/>
        <w:adjustRightInd/>
        <w:spacing w:line="259" w:lineRule="auto"/>
        <w:textAlignment w:val="auto"/>
      </w:pPr>
      <w:bookmarkStart w:id="59" w:name="_Ref16882586"/>
      <w:r>
        <w:t>R1-1907451, “Initial access signals and channels,” Ericsson, RAN1#97, May 2019.</w:t>
      </w:r>
      <w:bookmarkEnd w:id="59"/>
    </w:p>
    <w:p w14:paraId="2623EB4D" w14:textId="1253C186" w:rsidR="00F23AAF" w:rsidRPr="000B4707" w:rsidRDefault="00E04648" w:rsidP="00543EE3">
      <w:pPr>
        <w:pStyle w:val="Reference"/>
        <w:overflowPunct/>
        <w:autoSpaceDE/>
        <w:autoSpaceDN/>
        <w:adjustRightInd/>
        <w:spacing w:line="259" w:lineRule="auto"/>
        <w:textAlignment w:val="auto"/>
      </w:pPr>
      <w:bookmarkStart w:id="60" w:name="_Ref16883170"/>
      <w:r>
        <w:t>R4-1909393, “</w:t>
      </w:r>
      <w:r w:rsidRPr="00E04648">
        <w:t>SSB raster design of Rel-16 NR-U for 5GHz band</w:t>
      </w:r>
      <w:r>
        <w:t>,” Ericsson, RAN4#92, August 2019.</w:t>
      </w:r>
      <w:bookmarkEnd w:id="60"/>
    </w:p>
    <w:p w14:paraId="256AE16E" w14:textId="64DB17E6" w:rsidR="00543EE3" w:rsidRPr="000B4707" w:rsidRDefault="00543EE3" w:rsidP="00543EE3">
      <w:pPr>
        <w:pStyle w:val="Reference"/>
        <w:overflowPunct/>
        <w:autoSpaceDE/>
        <w:autoSpaceDN/>
        <w:adjustRightInd/>
        <w:spacing w:line="259" w:lineRule="auto"/>
        <w:textAlignment w:val="auto"/>
      </w:pPr>
      <w:bookmarkStart w:id="61" w:name="_Ref518639925"/>
      <w:bookmarkEnd w:id="54"/>
      <w:bookmarkEnd w:id="55"/>
      <w:bookmarkEnd w:id="56"/>
      <w:r w:rsidRPr="000B4707">
        <w:t>3GPP TS 38.211, “Physical channels and modulation” v15.</w:t>
      </w:r>
      <w:r w:rsidR="007A2AA5">
        <w:t>6</w:t>
      </w:r>
      <w:r w:rsidRPr="000B4707">
        <w:t xml:space="preserve">.0, </w:t>
      </w:r>
      <w:r w:rsidR="007A2AA5">
        <w:t>June</w:t>
      </w:r>
      <w:r w:rsidR="007A2AA5" w:rsidRPr="000B4707">
        <w:t xml:space="preserve"> </w:t>
      </w:r>
      <w:r w:rsidRPr="000B4707">
        <w:t>201</w:t>
      </w:r>
      <w:bookmarkEnd w:id="61"/>
      <w:r w:rsidR="00C94A61">
        <w:t>9</w:t>
      </w:r>
    </w:p>
    <w:p w14:paraId="75E0E681" w14:textId="1FC491A4" w:rsidR="00543EE3" w:rsidRDefault="00543EE3" w:rsidP="00543EE3">
      <w:pPr>
        <w:pStyle w:val="Reference"/>
        <w:overflowPunct/>
        <w:autoSpaceDE/>
        <w:autoSpaceDN/>
        <w:adjustRightInd/>
        <w:spacing w:line="259" w:lineRule="auto"/>
        <w:textAlignment w:val="auto"/>
      </w:pPr>
      <w:bookmarkStart w:id="62" w:name="_Ref534881501"/>
      <w:bookmarkStart w:id="63" w:name="_Ref534892220"/>
      <w:r w:rsidRPr="000B4707">
        <w:t>3GPP TS 38.213, “Physical layer procedures for control” v15.</w:t>
      </w:r>
      <w:r w:rsidR="007A2AA5">
        <w:t>6</w:t>
      </w:r>
      <w:r w:rsidRPr="000B4707">
        <w:t xml:space="preserve">.0, </w:t>
      </w:r>
      <w:r w:rsidR="007A2AA5">
        <w:t>June</w:t>
      </w:r>
      <w:r w:rsidR="007A2AA5" w:rsidRPr="000B4707">
        <w:t xml:space="preserve"> </w:t>
      </w:r>
      <w:r w:rsidRPr="000B4707">
        <w:t>201</w:t>
      </w:r>
      <w:bookmarkEnd w:id="62"/>
      <w:r w:rsidR="00C94A61">
        <w:t>9</w:t>
      </w:r>
      <w:r w:rsidRPr="000B4707">
        <w:t>.</w:t>
      </w:r>
      <w:bookmarkEnd w:id="63"/>
    </w:p>
    <w:p w14:paraId="4E5AE89C" w14:textId="44A273EA" w:rsidR="000B4707" w:rsidRPr="000B4707" w:rsidRDefault="000B4707" w:rsidP="00543EE3">
      <w:pPr>
        <w:pStyle w:val="Reference"/>
        <w:overflowPunct/>
        <w:autoSpaceDE/>
        <w:autoSpaceDN/>
        <w:adjustRightInd/>
        <w:spacing w:line="259" w:lineRule="auto"/>
        <w:textAlignment w:val="auto"/>
      </w:pPr>
      <w:bookmarkStart w:id="64" w:name="_Ref974170"/>
      <w:r w:rsidRPr="000B4707">
        <w:t>3GPP TS 38.21</w:t>
      </w:r>
      <w:r>
        <w:t>4</w:t>
      </w:r>
      <w:r w:rsidRPr="000B4707">
        <w:t xml:space="preserve">, “Physical layer procedures for </w:t>
      </w:r>
      <w:r>
        <w:t>data</w:t>
      </w:r>
      <w:r w:rsidRPr="000B4707">
        <w:t>” v15.</w:t>
      </w:r>
      <w:r w:rsidR="007A2AA5">
        <w:t>6</w:t>
      </w:r>
      <w:r w:rsidRPr="000B4707">
        <w:t xml:space="preserve">.0, </w:t>
      </w:r>
      <w:r w:rsidR="007A2AA5">
        <w:t>June</w:t>
      </w:r>
      <w:r w:rsidR="007A2AA5" w:rsidRPr="000B4707">
        <w:t xml:space="preserve"> </w:t>
      </w:r>
      <w:r w:rsidRPr="000B4707">
        <w:t>201</w:t>
      </w:r>
      <w:r w:rsidR="00C94A61">
        <w:t>9</w:t>
      </w:r>
      <w:r>
        <w:t>.</w:t>
      </w:r>
      <w:bookmarkEnd w:id="64"/>
    </w:p>
    <w:p w14:paraId="342DF165" w14:textId="7ACE5795" w:rsidR="002979BE" w:rsidRDefault="002979BE" w:rsidP="002979BE">
      <w:pPr>
        <w:pStyle w:val="Reference"/>
        <w:overflowPunct/>
        <w:autoSpaceDE/>
        <w:autoSpaceDN/>
        <w:adjustRightInd/>
        <w:spacing w:line="259" w:lineRule="auto"/>
        <w:textAlignment w:val="auto"/>
      </w:pPr>
      <w:bookmarkStart w:id="65" w:name="_Ref16172201"/>
      <w:bookmarkStart w:id="66" w:name="_Ref4604762"/>
      <w:bookmarkEnd w:id="57"/>
      <w:bookmarkEnd w:id="58"/>
      <w:r>
        <w:t>RP-191581, “</w:t>
      </w:r>
      <w:r w:rsidRPr="003D3350">
        <w:rPr>
          <w:rFonts w:eastAsia="SimSun" w:cs="Arial"/>
          <w:bCs/>
        </w:rPr>
        <w:t>Guidance on essential functionality for NR-U</w:t>
      </w:r>
      <w:r>
        <w:rPr>
          <w:rFonts w:eastAsia="SimSun" w:cs="Arial"/>
          <w:bCs/>
        </w:rPr>
        <w:t>,</w:t>
      </w:r>
      <w:r>
        <w:t>” RAN, RAN#84, June 2019.</w:t>
      </w:r>
      <w:bookmarkEnd w:id="65"/>
    </w:p>
    <w:p w14:paraId="6FBA86AE" w14:textId="1166589C" w:rsidR="007A43BC" w:rsidRDefault="0005701B" w:rsidP="00543EE3">
      <w:pPr>
        <w:pStyle w:val="Reference"/>
        <w:overflowPunct/>
        <w:autoSpaceDE/>
        <w:autoSpaceDN/>
        <w:adjustRightInd/>
        <w:spacing w:line="259" w:lineRule="auto"/>
        <w:textAlignment w:val="auto"/>
      </w:pPr>
      <w:bookmarkStart w:id="67" w:name="_Ref975202"/>
      <w:bookmarkEnd w:id="66"/>
      <w:r w:rsidRPr="0005701B">
        <w:lastRenderedPageBreak/>
        <w:t>R1-1909303</w:t>
      </w:r>
      <w:r w:rsidR="007A43BC">
        <w:t>, “</w:t>
      </w:r>
      <w:r w:rsidR="007A43BC" w:rsidRPr="007A43BC">
        <w:t xml:space="preserve">Evaluation results for enhanced </w:t>
      </w:r>
      <w:r w:rsidR="00C344D5" w:rsidRPr="00C344D5">
        <w:t xml:space="preserve">PUCCH and </w:t>
      </w:r>
      <w:r w:rsidR="007A43BC" w:rsidRPr="007A43BC">
        <w:t xml:space="preserve">PRACH </w:t>
      </w:r>
      <w:r w:rsidR="00C344D5" w:rsidRPr="00C344D5">
        <w:t>designs</w:t>
      </w:r>
      <w:r w:rsidR="007A43BC">
        <w:t>,” Ericsson, RAN1#9</w:t>
      </w:r>
      <w:r w:rsidR="00C344D5">
        <w:t>8</w:t>
      </w:r>
      <w:r w:rsidR="007A43BC">
        <w:t xml:space="preserve">, </w:t>
      </w:r>
      <w:r w:rsidR="00C344D5">
        <w:t>August</w:t>
      </w:r>
      <w:r w:rsidR="007A43BC">
        <w:t xml:space="preserve"> 2019.</w:t>
      </w:r>
      <w:bookmarkEnd w:id="67"/>
    </w:p>
    <w:p w14:paraId="262F3358" w14:textId="7BD18258" w:rsidR="0002037F" w:rsidRDefault="0002037F" w:rsidP="0002037F">
      <w:pPr>
        <w:pStyle w:val="Reference"/>
        <w:numPr>
          <w:ilvl w:val="0"/>
          <w:numId w:val="0"/>
        </w:numPr>
        <w:overflowPunct/>
        <w:autoSpaceDE/>
        <w:autoSpaceDN/>
        <w:adjustRightInd/>
        <w:spacing w:line="259" w:lineRule="auto"/>
        <w:ind w:left="567" w:hanging="567"/>
        <w:textAlignment w:val="auto"/>
      </w:pPr>
    </w:p>
    <w:p w14:paraId="2F825FD5" w14:textId="37A33D94" w:rsidR="0002037F" w:rsidRDefault="0002037F" w:rsidP="0002037F">
      <w:pPr>
        <w:pStyle w:val="Reference"/>
        <w:numPr>
          <w:ilvl w:val="0"/>
          <w:numId w:val="0"/>
        </w:numPr>
        <w:overflowPunct/>
        <w:autoSpaceDE/>
        <w:autoSpaceDN/>
        <w:adjustRightInd/>
        <w:spacing w:line="259" w:lineRule="auto"/>
        <w:ind w:left="567" w:hanging="567"/>
        <w:textAlignment w:val="auto"/>
      </w:pPr>
    </w:p>
    <w:sectPr w:rsidR="0002037F"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840F" w14:textId="77777777" w:rsidR="003800BF" w:rsidRDefault="003800BF">
      <w:r>
        <w:separator/>
      </w:r>
    </w:p>
  </w:endnote>
  <w:endnote w:type="continuationSeparator" w:id="0">
    <w:p w14:paraId="468EA6C9" w14:textId="77777777" w:rsidR="003800BF" w:rsidRDefault="003800BF">
      <w:r>
        <w:continuationSeparator/>
      </w:r>
    </w:p>
  </w:endnote>
  <w:endnote w:type="continuationNotice" w:id="1">
    <w:p w14:paraId="69BB2804" w14:textId="77777777" w:rsidR="003800BF" w:rsidRDefault="00380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E5509" w:rsidRDefault="000E55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D7F3D" w14:textId="77777777" w:rsidR="003800BF" w:rsidRDefault="003800BF">
      <w:r>
        <w:separator/>
      </w:r>
    </w:p>
  </w:footnote>
  <w:footnote w:type="continuationSeparator" w:id="0">
    <w:p w14:paraId="770EEBD6" w14:textId="77777777" w:rsidR="003800BF" w:rsidRDefault="003800BF">
      <w:r>
        <w:continuationSeparator/>
      </w:r>
    </w:p>
  </w:footnote>
  <w:footnote w:type="continuationNotice" w:id="1">
    <w:p w14:paraId="7A693268" w14:textId="77777777" w:rsidR="003800BF" w:rsidRDefault="00380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E5509" w:rsidRDefault="000E55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42D824"/>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A0AF6"/>
    <w:multiLevelType w:val="hybridMultilevel"/>
    <w:tmpl w:val="78F021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D21CF"/>
    <w:multiLevelType w:val="hybridMultilevel"/>
    <w:tmpl w:val="C37C0F98"/>
    <w:lvl w:ilvl="0" w:tplc="B46E8C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9D715F"/>
    <w:multiLevelType w:val="hybridMultilevel"/>
    <w:tmpl w:val="F92E02D4"/>
    <w:lvl w:ilvl="0" w:tplc="71B47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4D11AAC"/>
    <w:multiLevelType w:val="hybridMultilevel"/>
    <w:tmpl w:val="D24E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9ED1EF7"/>
    <w:multiLevelType w:val="hybridMultilevel"/>
    <w:tmpl w:val="551C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38320606"/>
    <w:multiLevelType w:val="hybridMultilevel"/>
    <w:tmpl w:val="457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182239"/>
    <w:multiLevelType w:val="hybridMultilevel"/>
    <w:tmpl w:val="474C924E"/>
    <w:lvl w:ilvl="0" w:tplc="4810DF60">
      <w:start w:val="1"/>
      <w:numFmt w:val="bullet"/>
      <w:lvlText w:val="—"/>
      <w:lvlJc w:val="left"/>
      <w:pPr>
        <w:tabs>
          <w:tab w:val="num" w:pos="720"/>
        </w:tabs>
        <w:ind w:left="720" w:hanging="360"/>
      </w:pPr>
      <w:rPr>
        <w:rFonts w:ascii="Ericsson Hilda Light" w:hAnsi="Ericsson Hilda Light" w:hint="default"/>
      </w:rPr>
    </w:lvl>
    <w:lvl w:ilvl="1" w:tplc="E7460B80">
      <w:start w:val="238"/>
      <w:numFmt w:val="bullet"/>
      <w:lvlText w:val="—"/>
      <w:lvlJc w:val="left"/>
      <w:pPr>
        <w:tabs>
          <w:tab w:val="num" w:pos="1440"/>
        </w:tabs>
        <w:ind w:left="1440" w:hanging="360"/>
      </w:pPr>
      <w:rPr>
        <w:rFonts w:ascii="Ericsson Hilda Light" w:hAnsi="Ericsson Hilda Light" w:hint="default"/>
      </w:rPr>
    </w:lvl>
    <w:lvl w:ilvl="2" w:tplc="8B68C0A2">
      <w:start w:val="238"/>
      <w:numFmt w:val="bullet"/>
      <w:lvlText w:val="—"/>
      <w:lvlJc w:val="left"/>
      <w:pPr>
        <w:tabs>
          <w:tab w:val="num" w:pos="2160"/>
        </w:tabs>
        <w:ind w:left="2160" w:hanging="360"/>
      </w:pPr>
      <w:rPr>
        <w:rFonts w:ascii="Ericsson Hilda Light" w:hAnsi="Ericsson Hilda Light" w:hint="default"/>
      </w:rPr>
    </w:lvl>
    <w:lvl w:ilvl="3" w:tplc="B164C5C8">
      <w:start w:val="238"/>
      <w:numFmt w:val="bullet"/>
      <w:lvlText w:val="—"/>
      <w:lvlJc w:val="left"/>
      <w:pPr>
        <w:tabs>
          <w:tab w:val="num" w:pos="2880"/>
        </w:tabs>
        <w:ind w:left="2880" w:hanging="360"/>
      </w:pPr>
      <w:rPr>
        <w:rFonts w:ascii="Ericsson Hilda Light" w:hAnsi="Ericsson Hilda Light" w:hint="default"/>
      </w:rPr>
    </w:lvl>
    <w:lvl w:ilvl="4" w:tplc="10025A18" w:tentative="1">
      <w:start w:val="1"/>
      <w:numFmt w:val="bullet"/>
      <w:lvlText w:val="—"/>
      <w:lvlJc w:val="left"/>
      <w:pPr>
        <w:tabs>
          <w:tab w:val="num" w:pos="3600"/>
        </w:tabs>
        <w:ind w:left="3600" w:hanging="360"/>
      </w:pPr>
      <w:rPr>
        <w:rFonts w:ascii="Ericsson Hilda Light" w:hAnsi="Ericsson Hilda Light" w:hint="default"/>
      </w:rPr>
    </w:lvl>
    <w:lvl w:ilvl="5" w:tplc="CF7C614E" w:tentative="1">
      <w:start w:val="1"/>
      <w:numFmt w:val="bullet"/>
      <w:lvlText w:val="—"/>
      <w:lvlJc w:val="left"/>
      <w:pPr>
        <w:tabs>
          <w:tab w:val="num" w:pos="4320"/>
        </w:tabs>
        <w:ind w:left="4320" w:hanging="360"/>
      </w:pPr>
      <w:rPr>
        <w:rFonts w:ascii="Ericsson Hilda Light" w:hAnsi="Ericsson Hilda Light" w:hint="default"/>
      </w:rPr>
    </w:lvl>
    <w:lvl w:ilvl="6" w:tplc="76B4497E" w:tentative="1">
      <w:start w:val="1"/>
      <w:numFmt w:val="bullet"/>
      <w:lvlText w:val="—"/>
      <w:lvlJc w:val="left"/>
      <w:pPr>
        <w:tabs>
          <w:tab w:val="num" w:pos="5040"/>
        </w:tabs>
        <w:ind w:left="5040" w:hanging="360"/>
      </w:pPr>
      <w:rPr>
        <w:rFonts w:ascii="Ericsson Hilda Light" w:hAnsi="Ericsson Hilda Light" w:hint="default"/>
      </w:rPr>
    </w:lvl>
    <w:lvl w:ilvl="7" w:tplc="F1A4B1BC" w:tentative="1">
      <w:start w:val="1"/>
      <w:numFmt w:val="bullet"/>
      <w:lvlText w:val="—"/>
      <w:lvlJc w:val="left"/>
      <w:pPr>
        <w:tabs>
          <w:tab w:val="num" w:pos="5760"/>
        </w:tabs>
        <w:ind w:left="5760" w:hanging="360"/>
      </w:pPr>
      <w:rPr>
        <w:rFonts w:ascii="Ericsson Hilda Light" w:hAnsi="Ericsson Hilda Light" w:hint="default"/>
      </w:rPr>
    </w:lvl>
    <w:lvl w:ilvl="8" w:tplc="EA1A9F54"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DC3A7D"/>
    <w:multiLevelType w:val="hybridMultilevel"/>
    <w:tmpl w:val="1CA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81BA3"/>
    <w:multiLevelType w:val="hybridMultilevel"/>
    <w:tmpl w:val="EE34D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4CE06A5F"/>
    <w:multiLevelType w:val="hybridMultilevel"/>
    <w:tmpl w:val="16B200E6"/>
    <w:lvl w:ilvl="0" w:tplc="80F82D08">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5" w15:restartNumberingAfterBreak="0">
    <w:nsid w:val="4CE5430E"/>
    <w:multiLevelType w:val="hybridMultilevel"/>
    <w:tmpl w:val="7C206C8E"/>
    <w:lvl w:ilvl="0" w:tplc="F7563B84">
      <w:start w:val="1"/>
      <w:numFmt w:val="bullet"/>
      <w:lvlText w:val="—"/>
      <w:lvlJc w:val="left"/>
      <w:pPr>
        <w:tabs>
          <w:tab w:val="num" w:pos="720"/>
        </w:tabs>
        <w:ind w:left="720" w:hanging="360"/>
      </w:pPr>
      <w:rPr>
        <w:rFonts w:ascii="Ericsson Hilda Light" w:hAnsi="Ericsson Hilda Light" w:hint="default"/>
      </w:rPr>
    </w:lvl>
    <w:lvl w:ilvl="1" w:tplc="86FA8406" w:tentative="1">
      <w:start w:val="1"/>
      <w:numFmt w:val="bullet"/>
      <w:lvlText w:val="—"/>
      <w:lvlJc w:val="left"/>
      <w:pPr>
        <w:tabs>
          <w:tab w:val="num" w:pos="1440"/>
        </w:tabs>
        <w:ind w:left="1440" w:hanging="360"/>
      </w:pPr>
      <w:rPr>
        <w:rFonts w:ascii="Ericsson Hilda Light" w:hAnsi="Ericsson Hilda Light" w:hint="default"/>
      </w:rPr>
    </w:lvl>
    <w:lvl w:ilvl="2" w:tplc="76C0245E" w:tentative="1">
      <w:start w:val="1"/>
      <w:numFmt w:val="bullet"/>
      <w:lvlText w:val="—"/>
      <w:lvlJc w:val="left"/>
      <w:pPr>
        <w:tabs>
          <w:tab w:val="num" w:pos="2160"/>
        </w:tabs>
        <w:ind w:left="2160" w:hanging="360"/>
      </w:pPr>
      <w:rPr>
        <w:rFonts w:ascii="Ericsson Hilda Light" w:hAnsi="Ericsson Hilda Light" w:hint="default"/>
      </w:rPr>
    </w:lvl>
    <w:lvl w:ilvl="3" w:tplc="AF6A04E2" w:tentative="1">
      <w:start w:val="1"/>
      <w:numFmt w:val="bullet"/>
      <w:lvlText w:val="—"/>
      <w:lvlJc w:val="left"/>
      <w:pPr>
        <w:tabs>
          <w:tab w:val="num" w:pos="2880"/>
        </w:tabs>
        <w:ind w:left="2880" w:hanging="360"/>
      </w:pPr>
      <w:rPr>
        <w:rFonts w:ascii="Ericsson Hilda Light" w:hAnsi="Ericsson Hilda Light" w:hint="default"/>
      </w:rPr>
    </w:lvl>
    <w:lvl w:ilvl="4" w:tplc="8F6A6212" w:tentative="1">
      <w:start w:val="1"/>
      <w:numFmt w:val="bullet"/>
      <w:lvlText w:val="—"/>
      <w:lvlJc w:val="left"/>
      <w:pPr>
        <w:tabs>
          <w:tab w:val="num" w:pos="3600"/>
        </w:tabs>
        <w:ind w:left="3600" w:hanging="360"/>
      </w:pPr>
      <w:rPr>
        <w:rFonts w:ascii="Ericsson Hilda Light" w:hAnsi="Ericsson Hilda Light" w:hint="default"/>
      </w:rPr>
    </w:lvl>
    <w:lvl w:ilvl="5" w:tplc="E8383EB2" w:tentative="1">
      <w:start w:val="1"/>
      <w:numFmt w:val="bullet"/>
      <w:lvlText w:val="—"/>
      <w:lvlJc w:val="left"/>
      <w:pPr>
        <w:tabs>
          <w:tab w:val="num" w:pos="4320"/>
        </w:tabs>
        <w:ind w:left="4320" w:hanging="360"/>
      </w:pPr>
      <w:rPr>
        <w:rFonts w:ascii="Ericsson Hilda Light" w:hAnsi="Ericsson Hilda Light" w:hint="default"/>
      </w:rPr>
    </w:lvl>
    <w:lvl w:ilvl="6" w:tplc="7D98A6E6" w:tentative="1">
      <w:start w:val="1"/>
      <w:numFmt w:val="bullet"/>
      <w:lvlText w:val="—"/>
      <w:lvlJc w:val="left"/>
      <w:pPr>
        <w:tabs>
          <w:tab w:val="num" w:pos="5040"/>
        </w:tabs>
        <w:ind w:left="5040" w:hanging="360"/>
      </w:pPr>
      <w:rPr>
        <w:rFonts w:ascii="Ericsson Hilda Light" w:hAnsi="Ericsson Hilda Light" w:hint="default"/>
      </w:rPr>
    </w:lvl>
    <w:lvl w:ilvl="7" w:tplc="67905A7A" w:tentative="1">
      <w:start w:val="1"/>
      <w:numFmt w:val="bullet"/>
      <w:lvlText w:val="—"/>
      <w:lvlJc w:val="left"/>
      <w:pPr>
        <w:tabs>
          <w:tab w:val="num" w:pos="5760"/>
        </w:tabs>
        <w:ind w:left="5760" w:hanging="360"/>
      </w:pPr>
      <w:rPr>
        <w:rFonts w:ascii="Ericsson Hilda Light" w:hAnsi="Ericsson Hilda Light" w:hint="default"/>
      </w:rPr>
    </w:lvl>
    <w:lvl w:ilvl="8" w:tplc="703AF1BE"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4FB1727F"/>
    <w:multiLevelType w:val="hybridMultilevel"/>
    <w:tmpl w:val="7B66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C67AC0"/>
    <w:multiLevelType w:val="hybridMultilevel"/>
    <w:tmpl w:val="DBB8D5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24FE7"/>
    <w:multiLevelType w:val="hybridMultilevel"/>
    <w:tmpl w:val="167AB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63351A"/>
    <w:multiLevelType w:val="hybridMultilevel"/>
    <w:tmpl w:val="AF281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E0C3F2E"/>
    <w:multiLevelType w:val="hybridMultilevel"/>
    <w:tmpl w:val="F4D8A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9E03F4"/>
    <w:multiLevelType w:val="hybridMultilevel"/>
    <w:tmpl w:val="50D44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59B285E"/>
    <w:multiLevelType w:val="hybridMultilevel"/>
    <w:tmpl w:val="BAE2F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B667564"/>
    <w:multiLevelType w:val="multilevel"/>
    <w:tmpl w:val="BB345A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7D7B49"/>
    <w:multiLevelType w:val="hybridMultilevel"/>
    <w:tmpl w:val="03B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
  </w:num>
  <w:num w:numId="4">
    <w:abstractNumId w:val="38"/>
  </w:num>
  <w:num w:numId="5">
    <w:abstractNumId w:val="41"/>
  </w:num>
  <w:num w:numId="6">
    <w:abstractNumId w:val="44"/>
  </w:num>
  <w:num w:numId="7">
    <w:abstractNumId w:val="12"/>
  </w:num>
  <w:num w:numId="8">
    <w:abstractNumId w:val="15"/>
  </w:num>
  <w:num w:numId="9">
    <w:abstractNumId w:val="5"/>
  </w:num>
  <w:num w:numId="10">
    <w:abstractNumId w:val="55"/>
  </w:num>
  <w:num w:numId="11">
    <w:abstractNumId w:val="22"/>
  </w:num>
  <w:num w:numId="12">
    <w:abstractNumId w:val="52"/>
  </w:num>
  <w:num w:numId="13">
    <w:abstractNumId w:val="21"/>
  </w:num>
  <w:num w:numId="14">
    <w:abstractNumId w:val="28"/>
  </w:num>
  <w:num w:numId="15">
    <w:abstractNumId w:val="13"/>
  </w:num>
  <w:num w:numId="16">
    <w:abstractNumId w:val="34"/>
  </w:num>
  <w:num w:numId="17">
    <w:abstractNumId w:val="11"/>
  </w:num>
  <w:num w:numId="18">
    <w:abstractNumId w:val="54"/>
  </w:num>
  <w:num w:numId="19">
    <w:abstractNumId w:val="56"/>
  </w:num>
  <w:num w:numId="20">
    <w:abstractNumId w:val="29"/>
  </w:num>
  <w:num w:numId="21">
    <w:abstractNumId w:val="3"/>
  </w:num>
  <w:num w:numId="22">
    <w:abstractNumId w:val="0"/>
  </w:num>
  <w:num w:numId="23">
    <w:abstractNumId w:val="7"/>
  </w:num>
  <w:num w:numId="24">
    <w:abstractNumId w:val="53"/>
  </w:num>
  <w:num w:numId="25">
    <w:abstractNumId w:val="10"/>
  </w:num>
  <w:num w:numId="26">
    <w:abstractNumId w:val="49"/>
  </w:num>
  <w:num w:numId="27">
    <w:abstractNumId w:val="39"/>
  </w:num>
  <w:num w:numId="28">
    <w:abstractNumId w:val="17"/>
  </w:num>
  <w:num w:numId="29">
    <w:abstractNumId w:val="2"/>
  </w:num>
  <w:num w:numId="30">
    <w:abstractNumId w:val="9"/>
  </w:num>
  <w:num w:numId="31">
    <w:abstractNumId w:val="30"/>
  </w:num>
  <w:num w:numId="32">
    <w:abstractNumId w:val="31"/>
  </w:num>
  <w:num w:numId="33">
    <w:abstractNumId w:val="37"/>
  </w:num>
  <w:num w:numId="34">
    <w:abstractNumId w:val="51"/>
  </w:num>
  <w:num w:numId="35">
    <w:abstractNumId w:val="4"/>
  </w:num>
  <w:num w:numId="36">
    <w:abstractNumId w:val="48"/>
  </w:num>
  <w:num w:numId="37">
    <w:abstractNumId w:val="50"/>
  </w:num>
  <w:num w:numId="38">
    <w:abstractNumId w:val="50"/>
    <w:lvlOverride w:ilvl="1">
      <w:lvl w:ilvl="1">
        <w:numFmt w:val="bullet"/>
        <w:lvlText w:val="o"/>
        <w:lvlJc w:val="left"/>
        <w:pPr>
          <w:tabs>
            <w:tab w:val="num" w:pos="1440"/>
          </w:tabs>
          <w:ind w:left="1440" w:hanging="360"/>
        </w:pPr>
        <w:rPr>
          <w:rFonts w:ascii="Courier New" w:hAnsi="Courier New" w:hint="default"/>
          <w:sz w:val="20"/>
        </w:rPr>
      </w:lvl>
    </w:lvlOverride>
  </w:num>
  <w:num w:numId="39">
    <w:abstractNumId w:val="33"/>
  </w:num>
  <w:num w:numId="40">
    <w:abstractNumId w:val="42"/>
  </w:num>
  <w:num w:numId="41">
    <w:abstractNumId w:val="40"/>
  </w:num>
  <w:num w:numId="42">
    <w:abstractNumId w:val="19"/>
  </w:num>
  <w:num w:numId="43">
    <w:abstractNumId w:val="46"/>
  </w:num>
  <w:num w:numId="44">
    <w:abstractNumId w:val="35"/>
  </w:num>
  <w:num w:numId="45">
    <w:abstractNumId w:val="27"/>
  </w:num>
  <w:num w:numId="46">
    <w:abstractNumId w:val="47"/>
  </w:num>
  <w:num w:numId="47">
    <w:abstractNumId w:val="20"/>
  </w:num>
  <w:num w:numId="48">
    <w:abstractNumId w:val="16"/>
  </w:num>
  <w:num w:numId="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14"/>
  </w:num>
  <w:num w:numId="52">
    <w:abstractNumId w:val="18"/>
  </w:num>
  <w:num w:numId="53">
    <w:abstractNumId w:val="8"/>
  </w:num>
  <w:num w:numId="54">
    <w:abstractNumId w:val="23"/>
  </w:num>
  <w:num w:numId="55">
    <w:abstractNumId w:val="6"/>
  </w:num>
  <w:num w:numId="56">
    <w:abstractNumId w:val="36"/>
  </w:num>
  <w:num w:numId="57">
    <w:abstractNumId w:val="43"/>
  </w:num>
  <w:num w:numId="58">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564C"/>
    <w:rsid w:val="00006446"/>
    <w:rsid w:val="00006896"/>
    <w:rsid w:val="00007CDC"/>
    <w:rsid w:val="00011B28"/>
    <w:rsid w:val="00011C34"/>
    <w:rsid w:val="000122F3"/>
    <w:rsid w:val="000128BB"/>
    <w:rsid w:val="00014FEB"/>
    <w:rsid w:val="00015D15"/>
    <w:rsid w:val="0001743B"/>
    <w:rsid w:val="0002037F"/>
    <w:rsid w:val="00024E89"/>
    <w:rsid w:val="0002564D"/>
    <w:rsid w:val="00025B84"/>
    <w:rsid w:val="00025ECA"/>
    <w:rsid w:val="00027B25"/>
    <w:rsid w:val="00030AF1"/>
    <w:rsid w:val="000325B8"/>
    <w:rsid w:val="00033FB1"/>
    <w:rsid w:val="00034C15"/>
    <w:rsid w:val="00036BA1"/>
    <w:rsid w:val="000422E2"/>
    <w:rsid w:val="00042F22"/>
    <w:rsid w:val="000444EF"/>
    <w:rsid w:val="00045642"/>
    <w:rsid w:val="00046474"/>
    <w:rsid w:val="00047116"/>
    <w:rsid w:val="00052A07"/>
    <w:rsid w:val="000534E3"/>
    <w:rsid w:val="000534EE"/>
    <w:rsid w:val="00055A75"/>
    <w:rsid w:val="0005606A"/>
    <w:rsid w:val="0005701B"/>
    <w:rsid w:val="00057117"/>
    <w:rsid w:val="00060711"/>
    <w:rsid w:val="000616E7"/>
    <w:rsid w:val="0006487E"/>
    <w:rsid w:val="00065E1A"/>
    <w:rsid w:val="000732E8"/>
    <w:rsid w:val="0007518B"/>
    <w:rsid w:val="0007551B"/>
    <w:rsid w:val="0007693E"/>
    <w:rsid w:val="00077E5F"/>
    <w:rsid w:val="0008036A"/>
    <w:rsid w:val="00081AE6"/>
    <w:rsid w:val="00081BCD"/>
    <w:rsid w:val="000855EB"/>
    <w:rsid w:val="00085B52"/>
    <w:rsid w:val="000866F2"/>
    <w:rsid w:val="0009009F"/>
    <w:rsid w:val="0009050D"/>
    <w:rsid w:val="00091557"/>
    <w:rsid w:val="000924C1"/>
    <w:rsid w:val="000924F0"/>
    <w:rsid w:val="00092609"/>
    <w:rsid w:val="0009310F"/>
    <w:rsid w:val="00093474"/>
    <w:rsid w:val="00093A2C"/>
    <w:rsid w:val="0009510F"/>
    <w:rsid w:val="000972E1"/>
    <w:rsid w:val="000A0DB7"/>
    <w:rsid w:val="000A1B7B"/>
    <w:rsid w:val="000A4871"/>
    <w:rsid w:val="000A56F2"/>
    <w:rsid w:val="000A5AFB"/>
    <w:rsid w:val="000A6ECB"/>
    <w:rsid w:val="000B13D9"/>
    <w:rsid w:val="000B2719"/>
    <w:rsid w:val="000B3A8F"/>
    <w:rsid w:val="000B4707"/>
    <w:rsid w:val="000B4AB9"/>
    <w:rsid w:val="000B58C3"/>
    <w:rsid w:val="000B5EE7"/>
    <w:rsid w:val="000B61E9"/>
    <w:rsid w:val="000B6D21"/>
    <w:rsid w:val="000B6EC9"/>
    <w:rsid w:val="000C165A"/>
    <w:rsid w:val="000C2E19"/>
    <w:rsid w:val="000C65A3"/>
    <w:rsid w:val="000D0D07"/>
    <w:rsid w:val="000D45B5"/>
    <w:rsid w:val="000D4797"/>
    <w:rsid w:val="000D7A70"/>
    <w:rsid w:val="000E0527"/>
    <w:rsid w:val="000E1E92"/>
    <w:rsid w:val="000E20D1"/>
    <w:rsid w:val="000E4262"/>
    <w:rsid w:val="000E5509"/>
    <w:rsid w:val="000E574D"/>
    <w:rsid w:val="000E5A29"/>
    <w:rsid w:val="000F06D6"/>
    <w:rsid w:val="000F0EB1"/>
    <w:rsid w:val="000F1106"/>
    <w:rsid w:val="000F3130"/>
    <w:rsid w:val="000F39C0"/>
    <w:rsid w:val="000F3BE9"/>
    <w:rsid w:val="000F3F6C"/>
    <w:rsid w:val="000F4123"/>
    <w:rsid w:val="000F4CC2"/>
    <w:rsid w:val="000F5327"/>
    <w:rsid w:val="000F6DF3"/>
    <w:rsid w:val="001001A5"/>
    <w:rsid w:val="001005FF"/>
    <w:rsid w:val="0010247E"/>
    <w:rsid w:val="0010372A"/>
    <w:rsid w:val="001058BC"/>
    <w:rsid w:val="00105E55"/>
    <w:rsid w:val="001062FB"/>
    <w:rsid w:val="001063E6"/>
    <w:rsid w:val="00106456"/>
    <w:rsid w:val="00110211"/>
    <w:rsid w:val="001131ED"/>
    <w:rsid w:val="0011356A"/>
    <w:rsid w:val="00113CF4"/>
    <w:rsid w:val="00114B75"/>
    <w:rsid w:val="001153EA"/>
    <w:rsid w:val="00115643"/>
    <w:rsid w:val="00116765"/>
    <w:rsid w:val="00120E65"/>
    <w:rsid w:val="001219F5"/>
    <w:rsid w:val="00121A20"/>
    <w:rsid w:val="0012377F"/>
    <w:rsid w:val="00123F80"/>
    <w:rsid w:val="00124314"/>
    <w:rsid w:val="00126B4A"/>
    <w:rsid w:val="00131FF5"/>
    <w:rsid w:val="001320C8"/>
    <w:rsid w:val="0013266D"/>
    <w:rsid w:val="001327D7"/>
    <w:rsid w:val="00132FD0"/>
    <w:rsid w:val="001333A8"/>
    <w:rsid w:val="001344C0"/>
    <w:rsid w:val="001346FA"/>
    <w:rsid w:val="00135252"/>
    <w:rsid w:val="00135759"/>
    <w:rsid w:val="00137A25"/>
    <w:rsid w:val="00137AB5"/>
    <w:rsid w:val="00137F0B"/>
    <w:rsid w:val="00141CF0"/>
    <w:rsid w:val="00147419"/>
    <w:rsid w:val="00147603"/>
    <w:rsid w:val="00150BCC"/>
    <w:rsid w:val="00151E23"/>
    <w:rsid w:val="001526E0"/>
    <w:rsid w:val="001532CF"/>
    <w:rsid w:val="001551B5"/>
    <w:rsid w:val="0015772D"/>
    <w:rsid w:val="001652E4"/>
    <w:rsid w:val="001659C1"/>
    <w:rsid w:val="00165D10"/>
    <w:rsid w:val="00166620"/>
    <w:rsid w:val="00166DB7"/>
    <w:rsid w:val="00167378"/>
    <w:rsid w:val="001714B7"/>
    <w:rsid w:val="0017260F"/>
    <w:rsid w:val="001726C0"/>
    <w:rsid w:val="00173A42"/>
    <w:rsid w:val="00173A8E"/>
    <w:rsid w:val="0017502C"/>
    <w:rsid w:val="001759B1"/>
    <w:rsid w:val="00175B9F"/>
    <w:rsid w:val="0018143F"/>
    <w:rsid w:val="00181FF8"/>
    <w:rsid w:val="00182504"/>
    <w:rsid w:val="00184B97"/>
    <w:rsid w:val="00185068"/>
    <w:rsid w:val="00186BFB"/>
    <w:rsid w:val="00186EA3"/>
    <w:rsid w:val="00187357"/>
    <w:rsid w:val="00190AC1"/>
    <w:rsid w:val="00190C4A"/>
    <w:rsid w:val="00190E24"/>
    <w:rsid w:val="0019249F"/>
    <w:rsid w:val="0019341A"/>
    <w:rsid w:val="00193CE3"/>
    <w:rsid w:val="0019492D"/>
    <w:rsid w:val="00197DF9"/>
    <w:rsid w:val="001A1987"/>
    <w:rsid w:val="001A2564"/>
    <w:rsid w:val="001A40F0"/>
    <w:rsid w:val="001A6173"/>
    <w:rsid w:val="001A6CBA"/>
    <w:rsid w:val="001B0577"/>
    <w:rsid w:val="001B0D97"/>
    <w:rsid w:val="001B126E"/>
    <w:rsid w:val="001B54B6"/>
    <w:rsid w:val="001B5A5D"/>
    <w:rsid w:val="001C1CE5"/>
    <w:rsid w:val="001C3D2A"/>
    <w:rsid w:val="001C471E"/>
    <w:rsid w:val="001C6278"/>
    <w:rsid w:val="001D51BA"/>
    <w:rsid w:val="001D53E7"/>
    <w:rsid w:val="001D6342"/>
    <w:rsid w:val="001D6C5F"/>
    <w:rsid w:val="001D6D53"/>
    <w:rsid w:val="001E19A3"/>
    <w:rsid w:val="001E3F57"/>
    <w:rsid w:val="001E439D"/>
    <w:rsid w:val="001E58E2"/>
    <w:rsid w:val="001E7AED"/>
    <w:rsid w:val="001F3916"/>
    <w:rsid w:val="001F3A75"/>
    <w:rsid w:val="001F54C5"/>
    <w:rsid w:val="001F662C"/>
    <w:rsid w:val="001F7074"/>
    <w:rsid w:val="00200490"/>
    <w:rsid w:val="00201F3A"/>
    <w:rsid w:val="00203293"/>
    <w:rsid w:val="00203F96"/>
    <w:rsid w:val="00205717"/>
    <w:rsid w:val="00205C99"/>
    <w:rsid w:val="002069B2"/>
    <w:rsid w:val="00207FA3"/>
    <w:rsid w:val="002131C5"/>
    <w:rsid w:val="00214DA8"/>
    <w:rsid w:val="00215423"/>
    <w:rsid w:val="002158FA"/>
    <w:rsid w:val="0021673C"/>
    <w:rsid w:val="00216C29"/>
    <w:rsid w:val="002200D7"/>
    <w:rsid w:val="00220600"/>
    <w:rsid w:val="002206FC"/>
    <w:rsid w:val="0022099C"/>
    <w:rsid w:val="002224DB"/>
    <w:rsid w:val="0022258B"/>
    <w:rsid w:val="00222CC2"/>
    <w:rsid w:val="00223FCB"/>
    <w:rsid w:val="002252C3"/>
    <w:rsid w:val="00225C54"/>
    <w:rsid w:val="00230765"/>
    <w:rsid w:val="00230D18"/>
    <w:rsid w:val="002319E4"/>
    <w:rsid w:val="00232859"/>
    <w:rsid w:val="00235632"/>
    <w:rsid w:val="00235872"/>
    <w:rsid w:val="00240B6C"/>
    <w:rsid w:val="00241559"/>
    <w:rsid w:val="002435B3"/>
    <w:rsid w:val="002458EB"/>
    <w:rsid w:val="002500C8"/>
    <w:rsid w:val="0025112C"/>
    <w:rsid w:val="00257543"/>
    <w:rsid w:val="00260F23"/>
    <w:rsid w:val="002617E7"/>
    <w:rsid w:val="00264020"/>
    <w:rsid w:val="00264228"/>
    <w:rsid w:val="00264334"/>
    <w:rsid w:val="0026473E"/>
    <w:rsid w:val="00265E33"/>
    <w:rsid w:val="00266214"/>
    <w:rsid w:val="00267C83"/>
    <w:rsid w:val="00270DEA"/>
    <w:rsid w:val="0027144F"/>
    <w:rsid w:val="00271813"/>
    <w:rsid w:val="00271F3A"/>
    <w:rsid w:val="00273278"/>
    <w:rsid w:val="002737F4"/>
    <w:rsid w:val="00275B89"/>
    <w:rsid w:val="00277E7B"/>
    <w:rsid w:val="002801D8"/>
    <w:rsid w:val="002805F5"/>
    <w:rsid w:val="00280751"/>
    <w:rsid w:val="0028280A"/>
    <w:rsid w:val="002831B0"/>
    <w:rsid w:val="00285471"/>
    <w:rsid w:val="00285B57"/>
    <w:rsid w:val="00286ACD"/>
    <w:rsid w:val="002876EA"/>
    <w:rsid w:val="00287838"/>
    <w:rsid w:val="002907B5"/>
    <w:rsid w:val="00292EB7"/>
    <w:rsid w:val="00294B5D"/>
    <w:rsid w:val="00296227"/>
    <w:rsid w:val="00296F44"/>
    <w:rsid w:val="00297318"/>
    <w:rsid w:val="0029777D"/>
    <w:rsid w:val="002979BE"/>
    <w:rsid w:val="002A055E"/>
    <w:rsid w:val="002A1D4E"/>
    <w:rsid w:val="002A2869"/>
    <w:rsid w:val="002A774E"/>
    <w:rsid w:val="002B23B3"/>
    <w:rsid w:val="002B24D6"/>
    <w:rsid w:val="002B38FE"/>
    <w:rsid w:val="002B46E7"/>
    <w:rsid w:val="002B608B"/>
    <w:rsid w:val="002C3A90"/>
    <w:rsid w:val="002C41E6"/>
    <w:rsid w:val="002C4955"/>
    <w:rsid w:val="002C6F96"/>
    <w:rsid w:val="002D071A"/>
    <w:rsid w:val="002D34B2"/>
    <w:rsid w:val="002D48B0"/>
    <w:rsid w:val="002D5B37"/>
    <w:rsid w:val="002D607C"/>
    <w:rsid w:val="002D75DB"/>
    <w:rsid w:val="002D7637"/>
    <w:rsid w:val="002E005A"/>
    <w:rsid w:val="002E17F2"/>
    <w:rsid w:val="002E3206"/>
    <w:rsid w:val="002E65DF"/>
    <w:rsid w:val="002E75D6"/>
    <w:rsid w:val="002E7CAE"/>
    <w:rsid w:val="002F2706"/>
    <w:rsid w:val="002F2771"/>
    <w:rsid w:val="002F2F22"/>
    <w:rsid w:val="002F37A9"/>
    <w:rsid w:val="002F6CD0"/>
    <w:rsid w:val="002F788A"/>
    <w:rsid w:val="002F7C2E"/>
    <w:rsid w:val="00301CE6"/>
    <w:rsid w:val="0030256B"/>
    <w:rsid w:val="00302F71"/>
    <w:rsid w:val="00304229"/>
    <w:rsid w:val="0030501F"/>
    <w:rsid w:val="00307772"/>
    <w:rsid w:val="00307BA1"/>
    <w:rsid w:val="00310B1A"/>
    <w:rsid w:val="003114D6"/>
    <w:rsid w:val="00311702"/>
    <w:rsid w:val="00311DAF"/>
    <w:rsid w:val="00311E82"/>
    <w:rsid w:val="003131A5"/>
    <w:rsid w:val="00313FD6"/>
    <w:rsid w:val="003143BD"/>
    <w:rsid w:val="00314E47"/>
    <w:rsid w:val="00315363"/>
    <w:rsid w:val="003203ED"/>
    <w:rsid w:val="0032205A"/>
    <w:rsid w:val="00322485"/>
    <w:rsid w:val="00322C9F"/>
    <w:rsid w:val="00324D23"/>
    <w:rsid w:val="00331751"/>
    <w:rsid w:val="003320AA"/>
    <w:rsid w:val="0033266C"/>
    <w:rsid w:val="003344B8"/>
    <w:rsid w:val="00334579"/>
    <w:rsid w:val="0033466C"/>
    <w:rsid w:val="00335858"/>
    <w:rsid w:val="0033690A"/>
    <w:rsid w:val="00336BDA"/>
    <w:rsid w:val="0034106B"/>
    <w:rsid w:val="00341187"/>
    <w:rsid w:val="00341B12"/>
    <w:rsid w:val="00342BD7"/>
    <w:rsid w:val="00344ACD"/>
    <w:rsid w:val="00346DB5"/>
    <w:rsid w:val="0034771F"/>
    <w:rsid w:val="003477B1"/>
    <w:rsid w:val="003544B2"/>
    <w:rsid w:val="00354B73"/>
    <w:rsid w:val="00356037"/>
    <w:rsid w:val="00357380"/>
    <w:rsid w:val="003602D9"/>
    <w:rsid w:val="003604CE"/>
    <w:rsid w:val="003612EE"/>
    <w:rsid w:val="00361438"/>
    <w:rsid w:val="00363432"/>
    <w:rsid w:val="00364ECE"/>
    <w:rsid w:val="00365722"/>
    <w:rsid w:val="00367BD6"/>
    <w:rsid w:val="00370196"/>
    <w:rsid w:val="00370644"/>
    <w:rsid w:val="00370E47"/>
    <w:rsid w:val="00373957"/>
    <w:rsid w:val="003742AC"/>
    <w:rsid w:val="003755DD"/>
    <w:rsid w:val="00377CE1"/>
    <w:rsid w:val="003800BF"/>
    <w:rsid w:val="0038233A"/>
    <w:rsid w:val="00382E30"/>
    <w:rsid w:val="00385BF0"/>
    <w:rsid w:val="00386F94"/>
    <w:rsid w:val="00391630"/>
    <w:rsid w:val="003939FF"/>
    <w:rsid w:val="00393A84"/>
    <w:rsid w:val="003967E2"/>
    <w:rsid w:val="00396B04"/>
    <w:rsid w:val="003A2223"/>
    <w:rsid w:val="003A2A0F"/>
    <w:rsid w:val="003A45A1"/>
    <w:rsid w:val="003A5B0A"/>
    <w:rsid w:val="003A6BAC"/>
    <w:rsid w:val="003A70A4"/>
    <w:rsid w:val="003A7EF3"/>
    <w:rsid w:val="003B159C"/>
    <w:rsid w:val="003B2A66"/>
    <w:rsid w:val="003B30E8"/>
    <w:rsid w:val="003B369F"/>
    <w:rsid w:val="003B36A3"/>
    <w:rsid w:val="003B514F"/>
    <w:rsid w:val="003B64BB"/>
    <w:rsid w:val="003B7FE5"/>
    <w:rsid w:val="003C11C8"/>
    <w:rsid w:val="003C2702"/>
    <w:rsid w:val="003C33DD"/>
    <w:rsid w:val="003C552C"/>
    <w:rsid w:val="003C5C8B"/>
    <w:rsid w:val="003C5F4F"/>
    <w:rsid w:val="003C7806"/>
    <w:rsid w:val="003D0540"/>
    <w:rsid w:val="003D109F"/>
    <w:rsid w:val="003D2478"/>
    <w:rsid w:val="003D3C45"/>
    <w:rsid w:val="003D4906"/>
    <w:rsid w:val="003D4AEC"/>
    <w:rsid w:val="003D566A"/>
    <w:rsid w:val="003D5B1F"/>
    <w:rsid w:val="003D6CE8"/>
    <w:rsid w:val="003D714A"/>
    <w:rsid w:val="003E06B5"/>
    <w:rsid w:val="003E0AC7"/>
    <w:rsid w:val="003E15FA"/>
    <w:rsid w:val="003E1CE7"/>
    <w:rsid w:val="003E55E4"/>
    <w:rsid w:val="003E60D5"/>
    <w:rsid w:val="003E74E3"/>
    <w:rsid w:val="003F05C7"/>
    <w:rsid w:val="003F2CD4"/>
    <w:rsid w:val="003F5D46"/>
    <w:rsid w:val="003F5F1A"/>
    <w:rsid w:val="003F620D"/>
    <w:rsid w:val="003F6BBE"/>
    <w:rsid w:val="004000E8"/>
    <w:rsid w:val="00401154"/>
    <w:rsid w:val="00402E2B"/>
    <w:rsid w:val="004046A0"/>
    <w:rsid w:val="0040512B"/>
    <w:rsid w:val="00405CA5"/>
    <w:rsid w:val="004069B1"/>
    <w:rsid w:val="00407CD3"/>
    <w:rsid w:val="00410134"/>
    <w:rsid w:val="0041054B"/>
    <w:rsid w:val="00410B72"/>
    <w:rsid w:val="00410F18"/>
    <w:rsid w:val="00411F19"/>
    <w:rsid w:val="0041263E"/>
    <w:rsid w:val="00413AAC"/>
    <w:rsid w:val="00413E92"/>
    <w:rsid w:val="00414A47"/>
    <w:rsid w:val="004153C7"/>
    <w:rsid w:val="00421105"/>
    <w:rsid w:val="00422AA4"/>
    <w:rsid w:val="004242F4"/>
    <w:rsid w:val="00427248"/>
    <w:rsid w:val="00430641"/>
    <w:rsid w:val="0043135D"/>
    <w:rsid w:val="004314DE"/>
    <w:rsid w:val="00435BC9"/>
    <w:rsid w:val="00437447"/>
    <w:rsid w:val="00441A92"/>
    <w:rsid w:val="004431DC"/>
    <w:rsid w:val="00444032"/>
    <w:rsid w:val="00444E2D"/>
    <w:rsid w:val="00444F56"/>
    <w:rsid w:val="00446488"/>
    <w:rsid w:val="004517AA"/>
    <w:rsid w:val="00452CAC"/>
    <w:rsid w:val="00457565"/>
    <w:rsid w:val="00457B71"/>
    <w:rsid w:val="00464096"/>
    <w:rsid w:val="00464F12"/>
    <w:rsid w:val="00466083"/>
    <w:rsid w:val="004669E2"/>
    <w:rsid w:val="00467F65"/>
    <w:rsid w:val="00470C31"/>
    <w:rsid w:val="00471DE0"/>
    <w:rsid w:val="004734D0"/>
    <w:rsid w:val="0047556B"/>
    <w:rsid w:val="00477768"/>
    <w:rsid w:val="00481DC3"/>
    <w:rsid w:val="00483266"/>
    <w:rsid w:val="00492BC5"/>
    <w:rsid w:val="00496378"/>
    <w:rsid w:val="004964F1"/>
    <w:rsid w:val="00497506"/>
    <w:rsid w:val="004A097C"/>
    <w:rsid w:val="004A16BC"/>
    <w:rsid w:val="004A276A"/>
    <w:rsid w:val="004A2B94"/>
    <w:rsid w:val="004A37D3"/>
    <w:rsid w:val="004A6B05"/>
    <w:rsid w:val="004B4EFF"/>
    <w:rsid w:val="004B5755"/>
    <w:rsid w:val="004B6F6A"/>
    <w:rsid w:val="004B7C0C"/>
    <w:rsid w:val="004C1684"/>
    <w:rsid w:val="004C3763"/>
    <w:rsid w:val="004C3898"/>
    <w:rsid w:val="004C4ABD"/>
    <w:rsid w:val="004C4AD7"/>
    <w:rsid w:val="004C7549"/>
    <w:rsid w:val="004D21A4"/>
    <w:rsid w:val="004D36B1"/>
    <w:rsid w:val="004D7513"/>
    <w:rsid w:val="004D7EBD"/>
    <w:rsid w:val="004E2680"/>
    <w:rsid w:val="004E28F9"/>
    <w:rsid w:val="004E462E"/>
    <w:rsid w:val="004E56DC"/>
    <w:rsid w:val="004E76F4"/>
    <w:rsid w:val="004F0B4E"/>
    <w:rsid w:val="004F0B6C"/>
    <w:rsid w:val="004F2078"/>
    <w:rsid w:val="004F4DA3"/>
    <w:rsid w:val="004F6113"/>
    <w:rsid w:val="00500731"/>
    <w:rsid w:val="00500DB0"/>
    <w:rsid w:val="00502AF4"/>
    <w:rsid w:val="00506557"/>
    <w:rsid w:val="0050677A"/>
    <w:rsid w:val="00506AF2"/>
    <w:rsid w:val="005108D8"/>
    <w:rsid w:val="005108E0"/>
    <w:rsid w:val="005116F9"/>
    <w:rsid w:val="00512C56"/>
    <w:rsid w:val="005153A7"/>
    <w:rsid w:val="005214D7"/>
    <w:rsid w:val="005219CF"/>
    <w:rsid w:val="00524034"/>
    <w:rsid w:val="0052547E"/>
    <w:rsid w:val="00526622"/>
    <w:rsid w:val="00526C4A"/>
    <w:rsid w:val="0053498A"/>
    <w:rsid w:val="00534B59"/>
    <w:rsid w:val="00536759"/>
    <w:rsid w:val="00537C62"/>
    <w:rsid w:val="005411D9"/>
    <w:rsid w:val="0054171F"/>
    <w:rsid w:val="00542233"/>
    <w:rsid w:val="00543EE3"/>
    <w:rsid w:val="00546108"/>
    <w:rsid w:val="00546970"/>
    <w:rsid w:val="0055031E"/>
    <w:rsid w:val="00550327"/>
    <w:rsid w:val="00554885"/>
    <w:rsid w:val="00554E19"/>
    <w:rsid w:val="00557070"/>
    <w:rsid w:val="00557B39"/>
    <w:rsid w:val="0056121F"/>
    <w:rsid w:val="00561A5B"/>
    <w:rsid w:val="00563F6E"/>
    <w:rsid w:val="0056585E"/>
    <w:rsid w:val="0057015F"/>
    <w:rsid w:val="00572505"/>
    <w:rsid w:val="0057293A"/>
    <w:rsid w:val="00575224"/>
    <w:rsid w:val="00575385"/>
    <w:rsid w:val="00580731"/>
    <w:rsid w:val="00582809"/>
    <w:rsid w:val="0058798C"/>
    <w:rsid w:val="005900FA"/>
    <w:rsid w:val="00590EBE"/>
    <w:rsid w:val="005935A4"/>
    <w:rsid w:val="005948C2"/>
    <w:rsid w:val="00595DCA"/>
    <w:rsid w:val="0059694B"/>
    <w:rsid w:val="0059779B"/>
    <w:rsid w:val="005A0CDE"/>
    <w:rsid w:val="005A209A"/>
    <w:rsid w:val="005A519E"/>
    <w:rsid w:val="005A662D"/>
    <w:rsid w:val="005A67D0"/>
    <w:rsid w:val="005A7B03"/>
    <w:rsid w:val="005B1409"/>
    <w:rsid w:val="005B35D7"/>
    <w:rsid w:val="005B392A"/>
    <w:rsid w:val="005B3AA3"/>
    <w:rsid w:val="005B4AC6"/>
    <w:rsid w:val="005B6351"/>
    <w:rsid w:val="005B6F83"/>
    <w:rsid w:val="005C39F8"/>
    <w:rsid w:val="005C703A"/>
    <w:rsid w:val="005C74FB"/>
    <w:rsid w:val="005D1602"/>
    <w:rsid w:val="005E0AAF"/>
    <w:rsid w:val="005E2183"/>
    <w:rsid w:val="005E385F"/>
    <w:rsid w:val="005E5B81"/>
    <w:rsid w:val="005F2010"/>
    <w:rsid w:val="005F2CAB"/>
    <w:rsid w:val="005F2CB1"/>
    <w:rsid w:val="005F3025"/>
    <w:rsid w:val="005F3DEE"/>
    <w:rsid w:val="005F4BA4"/>
    <w:rsid w:val="005F4C19"/>
    <w:rsid w:val="005F618C"/>
    <w:rsid w:val="005F70BD"/>
    <w:rsid w:val="0060283C"/>
    <w:rsid w:val="00603A16"/>
    <w:rsid w:val="00604F02"/>
    <w:rsid w:val="00604F14"/>
    <w:rsid w:val="0060625E"/>
    <w:rsid w:val="00610769"/>
    <w:rsid w:val="00611A20"/>
    <w:rsid w:val="00611B83"/>
    <w:rsid w:val="00613257"/>
    <w:rsid w:val="00614F1C"/>
    <w:rsid w:val="00616DBF"/>
    <w:rsid w:val="00617376"/>
    <w:rsid w:val="00620A71"/>
    <w:rsid w:val="00620D80"/>
    <w:rsid w:val="00621036"/>
    <w:rsid w:val="00622D1C"/>
    <w:rsid w:val="006234A6"/>
    <w:rsid w:val="0062409D"/>
    <w:rsid w:val="00624DC9"/>
    <w:rsid w:val="00630001"/>
    <w:rsid w:val="006311B3"/>
    <w:rsid w:val="0063284C"/>
    <w:rsid w:val="00632E30"/>
    <w:rsid w:val="006357AD"/>
    <w:rsid w:val="00636398"/>
    <w:rsid w:val="006368D3"/>
    <w:rsid w:val="006377EC"/>
    <w:rsid w:val="00640B56"/>
    <w:rsid w:val="0064151F"/>
    <w:rsid w:val="00641533"/>
    <w:rsid w:val="0064208D"/>
    <w:rsid w:val="00642536"/>
    <w:rsid w:val="00643475"/>
    <w:rsid w:val="0064396A"/>
    <w:rsid w:val="00644207"/>
    <w:rsid w:val="00644A15"/>
    <w:rsid w:val="0064624E"/>
    <w:rsid w:val="00650AB9"/>
    <w:rsid w:val="00651981"/>
    <w:rsid w:val="00652C19"/>
    <w:rsid w:val="00654F6F"/>
    <w:rsid w:val="006552DC"/>
    <w:rsid w:val="006555F3"/>
    <w:rsid w:val="00655733"/>
    <w:rsid w:val="00655ACD"/>
    <w:rsid w:val="006561D7"/>
    <w:rsid w:val="00656A92"/>
    <w:rsid w:val="00656DDE"/>
    <w:rsid w:val="0066011D"/>
    <w:rsid w:val="006607C0"/>
    <w:rsid w:val="00660FD0"/>
    <w:rsid w:val="006613A6"/>
    <w:rsid w:val="006626DE"/>
    <w:rsid w:val="006627A2"/>
    <w:rsid w:val="00663322"/>
    <w:rsid w:val="006634E6"/>
    <w:rsid w:val="00663624"/>
    <w:rsid w:val="00664084"/>
    <w:rsid w:val="006655EE"/>
    <w:rsid w:val="00667A92"/>
    <w:rsid w:val="00667C9B"/>
    <w:rsid w:val="00667EE7"/>
    <w:rsid w:val="00670730"/>
    <w:rsid w:val="00670922"/>
    <w:rsid w:val="00670BE1"/>
    <w:rsid w:val="0067218F"/>
    <w:rsid w:val="00673433"/>
    <w:rsid w:val="006741F2"/>
    <w:rsid w:val="00674CC3"/>
    <w:rsid w:val="00675C72"/>
    <w:rsid w:val="00675C8E"/>
    <w:rsid w:val="00676FBF"/>
    <w:rsid w:val="006771F9"/>
    <w:rsid w:val="006776D7"/>
    <w:rsid w:val="00681003"/>
    <w:rsid w:val="006817C9"/>
    <w:rsid w:val="00683018"/>
    <w:rsid w:val="00683BCA"/>
    <w:rsid w:val="00683ECE"/>
    <w:rsid w:val="00687F38"/>
    <w:rsid w:val="00695FC2"/>
    <w:rsid w:val="00696949"/>
    <w:rsid w:val="00697052"/>
    <w:rsid w:val="006A0FD0"/>
    <w:rsid w:val="006A18DF"/>
    <w:rsid w:val="006A461C"/>
    <w:rsid w:val="006A46FB"/>
    <w:rsid w:val="006A53DD"/>
    <w:rsid w:val="006A5A5C"/>
    <w:rsid w:val="006A5E28"/>
    <w:rsid w:val="006A697B"/>
    <w:rsid w:val="006A7545"/>
    <w:rsid w:val="006A7AFF"/>
    <w:rsid w:val="006B085B"/>
    <w:rsid w:val="006B0C67"/>
    <w:rsid w:val="006B1816"/>
    <w:rsid w:val="006B2099"/>
    <w:rsid w:val="006B3B53"/>
    <w:rsid w:val="006B50CF"/>
    <w:rsid w:val="006B5BA4"/>
    <w:rsid w:val="006C03B8"/>
    <w:rsid w:val="006C5EC9"/>
    <w:rsid w:val="006C5F99"/>
    <w:rsid w:val="006C6059"/>
    <w:rsid w:val="006C7522"/>
    <w:rsid w:val="006C7821"/>
    <w:rsid w:val="006D29F7"/>
    <w:rsid w:val="006D4BE4"/>
    <w:rsid w:val="006D4DA4"/>
    <w:rsid w:val="006D6F08"/>
    <w:rsid w:val="006E062C"/>
    <w:rsid w:val="006E095E"/>
    <w:rsid w:val="006E1C82"/>
    <w:rsid w:val="006E28B7"/>
    <w:rsid w:val="006E2A9B"/>
    <w:rsid w:val="006E3310"/>
    <w:rsid w:val="006E4121"/>
    <w:rsid w:val="006E48C5"/>
    <w:rsid w:val="006E4E39"/>
    <w:rsid w:val="006E565E"/>
    <w:rsid w:val="006E673D"/>
    <w:rsid w:val="006E7D3B"/>
    <w:rsid w:val="006F1A09"/>
    <w:rsid w:val="006F1B70"/>
    <w:rsid w:val="006F341D"/>
    <w:rsid w:val="006F3CDE"/>
    <w:rsid w:val="006F58D4"/>
    <w:rsid w:val="006F5ABB"/>
    <w:rsid w:val="006F6582"/>
    <w:rsid w:val="006F664B"/>
    <w:rsid w:val="0070114A"/>
    <w:rsid w:val="00702D8D"/>
    <w:rsid w:val="0070346E"/>
    <w:rsid w:val="007035A4"/>
    <w:rsid w:val="00703E9D"/>
    <w:rsid w:val="00704EDB"/>
    <w:rsid w:val="00706101"/>
    <w:rsid w:val="00707072"/>
    <w:rsid w:val="00707D61"/>
    <w:rsid w:val="00712287"/>
    <w:rsid w:val="00712772"/>
    <w:rsid w:val="007133CF"/>
    <w:rsid w:val="007145F3"/>
    <w:rsid w:val="007148D3"/>
    <w:rsid w:val="00715B9A"/>
    <w:rsid w:val="007206B5"/>
    <w:rsid w:val="00723BAE"/>
    <w:rsid w:val="007257D0"/>
    <w:rsid w:val="00726EA6"/>
    <w:rsid w:val="00727208"/>
    <w:rsid w:val="00727680"/>
    <w:rsid w:val="00732225"/>
    <w:rsid w:val="007330D6"/>
    <w:rsid w:val="007348B1"/>
    <w:rsid w:val="0073603E"/>
    <w:rsid w:val="007362A6"/>
    <w:rsid w:val="00736D7D"/>
    <w:rsid w:val="0073777B"/>
    <w:rsid w:val="00740E58"/>
    <w:rsid w:val="007445A0"/>
    <w:rsid w:val="00744B93"/>
    <w:rsid w:val="0074524B"/>
    <w:rsid w:val="00745C8B"/>
    <w:rsid w:val="00747D8B"/>
    <w:rsid w:val="00751228"/>
    <w:rsid w:val="00751DCA"/>
    <w:rsid w:val="00752915"/>
    <w:rsid w:val="00754EE8"/>
    <w:rsid w:val="00755494"/>
    <w:rsid w:val="00755AA9"/>
    <w:rsid w:val="00755DEB"/>
    <w:rsid w:val="00756352"/>
    <w:rsid w:val="00756517"/>
    <w:rsid w:val="007571E1"/>
    <w:rsid w:val="00757B31"/>
    <w:rsid w:val="007604B2"/>
    <w:rsid w:val="00760B98"/>
    <w:rsid w:val="0076384B"/>
    <w:rsid w:val="00763888"/>
    <w:rsid w:val="00765281"/>
    <w:rsid w:val="00766BAD"/>
    <w:rsid w:val="00767A06"/>
    <w:rsid w:val="007729A2"/>
    <w:rsid w:val="007755F2"/>
    <w:rsid w:val="007759B2"/>
    <w:rsid w:val="00776971"/>
    <w:rsid w:val="00780A80"/>
    <w:rsid w:val="0078177E"/>
    <w:rsid w:val="0078207C"/>
    <w:rsid w:val="00782869"/>
    <w:rsid w:val="00782DD8"/>
    <w:rsid w:val="0078304C"/>
    <w:rsid w:val="00783673"/>
    <w:rsid w:val="00785490"/>
    <w:rsid w:val="00785AF2"/>
    <w:rsid w:val="0078670F"/>
    <w:rsid w:val="0079121A"/>
    <w:rsid w:val="007925EA"/>
    <w:rsid w:val="0079302D"/>
    <w:rsid w:val="007938A8"/>
    <w:rsid w:val="00793CD8"/>
    <w:rsid w:val="00794C24"/>
    <w:rsid w:val="007957B3"/>
    <w:rsid w:val="00795C92"/>
    <w:rsid w:val="00796231"/>
    <w:rsid w:val="007962C3"/>
    <w:rsid w:val="00796318"/>
    <w:rsid w:val="007A0853"/>
    <w:rsid w:val="007A1382"/>
    <w:rsid w:val="007A1CB3"/>
    <w:rsid w:val="007A2AA5"/>
    <w:rsid w:val="007A306F"/>
    <w:rsid w:val="007A43A6"/>
    <w:rsid w:val="007A43BC"/>
    <w:rsid w:val="007A58A6"/>
    <w:rsid w:val="007B0A1F"/>
    <w:rsid w:val="007B3D2D"/>
    <w:rsid w:val="007B50AE"/>
    <w:rsid w:val="007B51DF"/>
    <w:rsid w:val="007B5445"/>
    <w:rsid w:val="007B65F5"/>
    <w:rsid w:val="007C05DD"/>
    <w:rsid w:val="007C0C99"/>
    <w:rsid w:val="007C0E3E"/>
    <w:rsid w:val="007C3D18"/>
    <w:rsid w:val="007C60BF"/>
    <w:rsid w:val="007C676F"/>
    <w:rsid w:val="007C6A07"/>
    <w:rsid w:val="007C75A1"/>
    <w:rsid w:val="007C77A5"/>
    <w:rsid w:val="007D04E5"/>
    <w:rsid w:val="007D225C"/>
    <w:rsid w:val="007D5901"/>
    <w:rsid w:val="007D70DC"/>
    <w:rsid w:val="007D7526"/>
    <w:rsid w:val="007D7E5B"/>
    <w:rsid w:val="007D7EFB"/>
    <w:rsid w:val="007E041A"/>
    <w:rsid w:val="007E0690"/>
    <w:rsid w:val="007E4610"/>
    <w:rsid w:val="007E4715"/>
    <w:rsid w:val="007E505B"/>
    <w:rsid w:val="007E5992"/>
    <w:rsid w:val="007E64CD"/>
    <w:rsid w:val="007E6BDB"/>
    <w:rsid w:val="007E7091"/>
    <w:rsid w:val="007E7364"/>
    <w:rsid w:val="007F0A2B"/>
    <w:rsid w:val="007F2AC1"/>
    <w:rsid w:val="007F44ED"/>
    <w:rsid w:val="007F4E07"/>
    <w:rsid w:val="007F58F0"/>
    <w:rsid w:val="008013A7"/>
    <w:rsid w:val="008016E0"/>
    <w:rsid w:val="00803FAE"/>
    <w:rsid w:val="0080605F"/>
    <w:rsid w:val="00807081"/>
    <w:rsid w:val="00807786"/>
    <w:rsid w:val="00807FDB"/>
    <w:rsid w:val="00811FCB"/>
    <w:rsid w:val="008158D6"/>
    <w:rsid w:val="00817196"/>
    <w:rsid w:val="0081724E"/>
    <w:rsid w:val="00817F84"/>
    <w:rsid w:val="008200FA"/>
    <w:rsid w:val="00822187"/>
    <w:rsid w:val="0082319A"/>
    <w:rsid w:val="008235DB"/>
    <w:rsid w:val="00824AB4"/>
    <w:rsid w:val="00825C42"/>
    <w:rsid w:val="00825D25"/>
    <w:rsid w:val="008267E7"/>
    <w:rsid w:val="00826927"/>
    <w:rsid w:val="00826B2F"/>
    <w:rsid w:val="00827D6F"/>
    <w:rsid w:val="008309D2"/>
    <w:rsid w:val="0083327A"/>
    <w:rsid w:val="00835C10"/>
    <w:rsid w:val="00835F53"/>
    <w:rsid w:val="008374CE"/>
    <w:rsid w:val="008375E9"/>
    <w:rsid w:val="008376AC"/>
    <w:rsid w:val="00843099"/>
    <w:rsid w:val="008432AD"/>
    <w:rsid w:val="008444E8"/>
    <w:rsid w:val="00844E80"/>
    <w:rsid w:val="00846FE7"/>
    <w:rsid w:val="008503C8"/>
    <w:rsid w:val="00853D82"/>
    <w:rsid w:val="00855D07"/>
    <w:rsid w:val="00856911"/>
    <w:rsid w:val="00860931"/>
    <w:rsid w:val="00861276"/>
    <w:rsid w:val="0086397D"/>
    <w:rsid w:val="00864949"/>
    <w:rsid w:val="008677FD"/>
    <w:rsid w:val="008706D4"/>
    <w:rsid w:val="00870F8A"/>
    <w:rsid w:val="008714E1"/>
    <w:rsid w:val="008719A4"/>
    <w:rsid w:val="00871D23"/>
    <w:rsid w:val="00874312"/>
    <w:rsid w:val="0087437C"/>
    <w:rsid w:val="00875CD7"/>
    <w:rsid w:val="00876B4D"/>
    <w:rsid w:val="00877BC8"/>
    <w:rsid w:val="00877F18"/>
    <w:rsid w:val="0088223C"/>
    <w:rsid w:val="00886398"/>
    <w:rsid w:val="00887E6B"/>
    <w:rsid w:val="00890BAF"/>
    <w:rsid w:val="00891265"/>
    <w:rsid w:val="008941E3"/>
    <w:rsid w:val="00894A88"/>
    <w:rsid w:val="00894DEC"/>
    <w:rsid w:val="00895386"/>
    <w:rsid w:val="008A21FF"/>
    <w:rsid w:val="008A2CE2"/>
    <w:rsid w:val="008A30AC"/>
    <w:rsid w:val="008A44B8"/>
    <w:rsid w:val="008A51A8"/>
    <w:rsid w:val="008A54C7"/>
    <w:rsid w:val="008A77D8"/>
    <w:rsid w:val="008A78E4"/>
    <w:rsid w:val="008B0483"/>
    <w:rsid w:val="008B120C"/>
    <w:rsid w:val="008B1B02"/>
    <w:rsid w:val="008B3C49"/>
    <w:rsid w:val="008B51A0"/>
    <w:rsid w:val="008B57E2"/>
    <w:rsid w:val="008B592A"/>
    <w:rsid w:val="008B7B5C"/>
    <w:rsid w:val="008B7BF6"/>
    <w:rsid w:val="008C0C99"/>
    <w:rsid w:val="008C1D27"/>
    <w:rsid w:val="008C2017"/>
    <w:rsid w:val="008C4786"/>
    <w:rsid w:val="008C4958"/>
    <w:rsid w:val="008C4BAA"/>
    <w:rsid w:val="008C5253"/>
    <w:rsid w:val="008C5E9B"/>
    <w:rsid w:val="008C6AE8"/>
    <w:rsid w:val="008C7573"/>
    <w:rsid w:val="008D00A5"/>
    <w:rsid w:val="008D34F1"/>
    <w:rsid w:val="008D39D8"/>
    <w:rsid w:val="008D3F73"/>
    <w:rsid w:val="008D3FA0"/>
    <w:rsid w:val="008D6D1A"/>
    <w:rsid w:val="008E065E"/>
    <w:rsid w:val="008E0927"/>
    <w:rsid w:val="008E1909"/>
    <w:rsid w:val="008E40EC"/>
    <w:rsid w:val="008E6D71"/>
    <w:rsid w:val="008F1C4E"/>
    <w:rsid w:val="008F1EAB"/>
    <w:rsid w:val="008F33DC"/>
    <w:rsid w:val="008F477F"/>
    <w:rsid w:val="008F73D2"/>
    <w:rsid w:val="00902218"/>
    <w:rsid w:val="00902350"/>
    <w:rsid w:val="0090336B"/>
    <w:rsid w:val="0090468B"/>
    <w:rsid w:val="009048DE"/>
    <w:rsid w:val="009053AA"/>
    <w:rsid w:val="0090673E"/>
    <w:rsid w:val="00906939"/>
    <w:rsid w:val="00910B7D"/>
    <w:rsid w:val="00911DFB"/>
    <w:rsid w:val="009139D9"/>
    <w:rsid w:val="00913EFD"/>
    <w:rsid w:val="00914AD8"/>
    <w:rsid w:val="00916079"/>
    <w:rsid w:val="00917097"/>
    <w:rsid w:val="00917CE9"/>
    <w:rsid w:val="00920BF2"/>
    <w:rsid w:val="00921B97"/>
    <w:rsid w:val="00922010"/>
    <w:rsid w:val="00923913"/>
    <w:rsid w:val="00924C18"/>
    <w:rsid w:val="009304BE"/>
    <w:rsid w:val="00930500"/>
    <w:rsid w:val="00930FA4"/>
    <w:rsid w:val="00931BD9"/>
    <w:rsid w:val="00934185"/>
    <w:rsid w:val="009356C1"/>
    <w:rsid w:val="009368F3"/>
    <w:rsid w:val="00936E2C"/>
    <w:rsid w:val="00937F58"/>
    <w:rsid w:val="009406F5"/>
    <w:rsid w:val="00940968"/>
    <w:rsid w:val="00941636"/>
    <w:rsid w:val="00943742"/>
    <w:rsid w:val="00943EB7"/>
    <w:rsid w:val="009444D8"/>
    <w:rsid w:val="00945C05"/>
    <w:rsid w:val="00946945"/>
    <w:rsid w:val="00947713"/>
    <w:rsid w:val="00950DE7"/>
    <w:rsid w:val="009512F6"/>
    <w:rsid w:val="00953920"/>
    <w:rsid w:val="00953D2A"/>
    <w:rsid w:val="00953D47"/>
    <w:rsid w:val="00954094"/>
    <w:rsid w:val="0095681E"/>
    <w:rsid w:val="009572D4"/>
    <w:rsid w:val="00961921"/>
    <w:rsid w:val="0096430A"/>
    <w:rsid w:val="009645BD"/>
    <w:rsid w:val="0096554B"/>
    <w:rsid w:val="0096584A"/>
    <w:rsid w:val="00966247"/>
    <w:rsid w:val="0097001B"/>
    <w:rsid w:val="00971F08"/>
    <w:rsid w:val="00971FFF"/>
    <w:rsid w:val="00973712"/>
    <w:rsid w:val="0097603D"/>
    <w:rsid w:val="00976949"/>
    <w:rsid w:val="00980477"/>
    <w:rsid w:val="00980736"/>
    <w:rsid w:val="00983300"/>
    <w:rsid w:val="00985253"/>
    <w:rsid w:val="009853B3"/>
    <w:rsid w:val="00985C7C"/>
    <w:rsid w:val="00990630"/>
    <w:rsid w:val="00991761"/>
    <w:rsid w:val="00992716"/>
    <w:rsid w:val="009938CB"/>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69D7"/>
    <w:rsid w:val="009B7E87"/>
    <w:rsid w:val="009C0169"/>
    <w:rsid w:val="009C14EF"/>
    <w:rsid w:val="009C403E"/>
    <w:rsid w:val="009C4216"/>
    <w:rsid w:val="009C767C"/>
    <w:rsid w:val="009C7F9C"/>
    <w:rsid w:val="009D1255"/>
    <w:rsid w:val="009D4FF0"/>
    <w:rsid w:val="009D5F0F"/>
    <w:rsid w:val="009D703C"/>
    <w:rsid w:val="009D718F"/>
    <w:rsid w:val="009E068F"/>
    <w:rsid w:val="009E14E0"/>
    <w:rsid w:val="009E309B"/>
    <w:rsid w:val="009E35DB"/>
    <w:rsid w:val="009E47A3"/>
    <w:rsid w:val="009F08F3"/>
    <w:rsid w:val="009F11D4"/>
    <w:rsid w:val="009F20C9"/>
    <w:rsid w:val="009F32D9"/>
    <w:rsid w:val="009F344F"/>
    <w:rsid w:val="009F3D04"/>
    <w:rsid w:val="009F45FF"/>
    <w:rsid w:val="009F5CD0"/>
    <w:rsid w:val="009F685A"/>
    <w:rsid w:val="00A031D8"/>
    <w:rsid w:val="00A048A8"/>
    <w:rsid w:val="00A04F49"/>
    <w:rsid w:val="00A13E54"/>
    <w:rsid w:val="00A16EAD"/>
    <w:rsid w:val="00A17BFC"/>
    <w:rsid w:val="00A17F63"/>
    <w:rsid w:val="00A2193B"/>
    <w:rsid w:val="00A21C61"/>
    <w:rsid w:val="00A2223D"/>
    <w:rsid w:val="00A2351A"/>
    <w:rsid w:val="00A264A9"/>
    <w:rsid w:val="00A26C95"/>
    <w:rsid w:val="00A26DCF"/>
    <w:rsid w:val="00A2748A"/>
    <w:rsid w:val="00A27785"/>
    <w:rsid w:val="00A27B1E"/>
    <w:rsid w:val="00A30187"/>
    <w:rsid w:val="00A3349B"/>
    <w:rsid w:val="00A3448A"/>
    <w:rsid w:val="00A36297"/>
    <w:rsid w:val="00A404C0"/>
    <w:rsid w:val="00A41E2B"/>
    <w:rsid w:val="00A42430"/>
    <w:rsid w:val="00A426D8"/>
    <w:rsid w:val="00A45B74"/>
    <w:rsid w:val="00A50815"/>
    <w:rsid w:val="00A51457"/>
    <w:rsid w:val="00A514D1"/>
    <w:rsid w:val="00A52A83"/>
    <w:rsid w:val="00A52E1D"/>
    <w:rsid w:val="00A53CD5"/>
    <w:rsid w:val="00A548AB"/>
    <w:rsid w:val="00A54BB7"/>
    <w:rsid w:val="00A5623E"/>
    <w:rsid w:val="00A56C80"/>
    <w:rsid w:val="00A60746"/>
    <w:rsid w:val="00A61499"/>
    <w:rsid w:val="00A62578"/>
    <w:rsid w:val="00A62A77"/>
    <w:rsid w:val="00A63483"/>
    <w:rsid w:val="00A63E23"/>
    <w:rsid w:val="00A6532E"/>
    <w:rsid w:val="00A657D7"/>
    <w:rsid w:val="00A660AC"/>
    <w:rsid w:val="00A67E6C"/>
    <w:rsid w:val="00A70D1C"/>
    <w:rsid w:val="00A71B99"/>
    <w:rsid w:val="00A72F25"/>
    <w:rsid w:val="00A739D0"/>
    <w:rsid w:val="00A76111"/>
    <w:rsid w:val="00A761D4"/>
    <w:rsid w:val="00A76279"/>
    <w:rsid w:val="00A77EC4"/>
    <w:rsid w:val="00A801B1"/>
    <w:rsid w:val="00A85496"/>
    <w:rsid w:val="00A85ABF"/>
    <w:rsid w:val="00A87459"/>
    <w:rsid w:val="00A87E50"/>
    <w:rsid w:val="00A90400"/>
    <w:rsid w:val="00A92879"/>
    <w:rsid w:val="00A9442A"/>
    <w:rsid w:val="00A975BB"/>
    <w:rsid w:val="00A97D71"/>
    <w:rsid w:val="00AA016F"/>
    <w:rsid w:val="00AA1ED6"/>
    <w:rsid w:val="00AA30CF"/>
    <w:rsid w:val="00AA4389"/>
    <w:rsid w:val="00AA5109"/>
    <w:rsid w:val="00AA51D6"/>
    <w:rsid w:val="00AB05B7"/>
    <w:rsid w:val="00AB0BC8"/>
    <w:rsid w:val="00AB11CA"/>
    <w:rsid w:val="00AB14D9"/>
    <w:rsid w:val="00AB40EB"/>
    <w:rsid w:val="00AB4474"/>
    <w:rsid w:val="00AB4AB8"/>
    <w:rsid w:val="00AB58AF"/>
    <w:rsid w:val="00AB655E"/>
    <w:rsid w:val="00AB65A8"/>
    <w:rsid w:val="00AC007F"/>
    <w:rsid w:val="00AC2ECD"/>
    <w:rsid w:val="00AC3119"/>
    <w:rsid w:val="00AC4259"/>
    <w:rsid w:val="00AC49FB"/>
    <w:rsid w:val="00AC5038"/>
    <w:rsid w:val="00AC5A10"/>
    <w:rsid w:val="00AD0AA3"/>
    <w:rsid w:val="00AD155A"/>
    <w:rsid w:val="00AD2ED0"/>
    <w:rsid w:val="00AD317A"/>
    <w:rsid w:val="00AD3F94"/>
    <w:rsid w:val="00AD4A5A"/>
    <w:rsid w:val="00AD5841"/>
    <w:rsid w:val="00AD5B55"/>
    <w:rsid w:val="00AD6E53"/>
    <w:rsid w:val="00AE22A5"/>
    <w:rsid w:val="00AE27AC"/>
    <w:rsid w:val="00AE2E9B"/>
    <w:rsid w:val="00AE40E0"/>
    <w:rsid w:val="00AE4DBA"/>
    <w:rsid w:val="00AE4F07"/>
    <w:rsid w:val="00AE66BA"/>
    <w:rsid w:val="00AF1C5D"/>
    <w:rsid w:val="00AF42D7"/>
    <w:rsid w:val="00AF6CBB"/>
    <w:rsid w:val="00B006FE"/>
    <w:rsid w:val="00B007CB"/>
    <w:rsid w:val="00B00ECD"/>
    <w:rsid w:val="00B02AA9"/>
    <w:rsid w:val="00B02FA3"/>
    <w:rsid w:val="00B05084"/>
    <w:rsid w:val="00B10A86"/>
    <w:rsid w:val="00B114DA"/>
    <w:rsid w:val="00B11E61"/>
    <w:rsid w:val="00B14F65"/>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21F"/>
    <w:rsid w:val="00B565BC"/>
    <w:rsid w:val="00B6014D"/>
    <w:rsid w:val="00B61FB9"/>
    <w:rsid w:val="00B6389F"/>
    <w:rsid w:val="00B664C7"/>
    <w:rsid w:val="00B66D86"/>
    <w:rsid w:val="00B739F6"/>
    <w:rsid w:val="00B81A6C"/>
    <w:rsid w:val="00B85DE5"/>
    <w:rsid w:val="00B90F73"/>
    <w:rsid w:val="00B9379E"/>
    <w:rsid w:val="00B93B59"/>
    <w:rsid w:val="00B9406A"/>
    <w:rsid w:val="00B94F79"/>
    <w:rsid w:val="00BA00FE"/>
    <w:rsid w:val="00BA2280"/>
    <w:rsid w:val="00BA2A08"/>
    <w:rsid w:val="00BA56D2"/>
    <w:rsid w:val="00BA76E0"/>
    <w:rsid w:val="00BA7BD5"/>
    <w:rsid w:val="00BB2A25"/>
    <w:rsid w:val="00BB51E9"/>
    <w:rsid w:val="00BB6EBB"/>
    <w:rsid w:val="00BB7438"/>
    <w:rsid w:val="00BC0FDC"/>
    <w:rsid w:val="00BC24ED"/>
    <w:rsid w:val="00BC3053"/>
    <w:rsid w:val="00BC4D2E"/>
    <w:rsid w:val="00BC6427"/>
    <w:rsid w:val="00BC7A4A"/>
    <w:rsid w:val="00BD13EF"/>
    <w:rsid w:val="00BD25A7"/>
    <w:rsid w:val="00BD2FFB"/>
    <w:rsid w:val="00BD47F8"/>
    <w:rsid w:val="00BD48AC"/>
    <w:rsid w:val="00BD5F1A"/>
    <w:rsid w:val="00BD62F4"/>
    <w:rsid w:val="00BD6F6C"/>
    <w:rsid w:val="00BD7641"/>
    <w:rsid w:val="00BE01B1"/>
    <w:rsid w:val="00BE1234"/>
    <w:rsid w:val="00BE1F14"/>
    <w:rsid w:val="00BE21AE"/>
    <w:rsid w:val="00BE29BC"/>
    <w:rsid w:val="00BE2FA6"/>
    <w:rsid w:val="00BE313A"/>
    <w:rsid w:val="00BE333F"/>
    <w:rsid w:val="00BE589D"/>
    <w:rsid w:val="00BE7406"/>
    <w:rsid w:val="00BE7603"/>
    <w:rsid w:val="00BF230C"/>
    <w:rsid w:val="00BF2E11"/>
    <w:rsid w:val="00BF3279"/>
    <w:rsid w:val="00BF74C7"/>
    <w:rsid w:val="00C000D8"/>
    <w:rsid w:val="00C0052A"/>
    <w:rsid w:val="00C015F1"/>
    <w:rsid w:val="00C01F33"/>
    <w:rsid w:val="00C02CC6"/>
    <w:rsid w:val="00C040F7"/>
    <w:rsid w:val="00C044AB"/>
    <w:rsid w:val="00C05706"/>
    <w:rsid w:val="00C07377"/>
    <w:rsid w:val="00C10478"/>
    <w:rsid w:val="00C12107"/>
    <w:rsid w:val="00C12A69"/>
    <w:rsid w:val="00C14D4B"/>
    <w:rsid w:val="00C154BB"/>
    <w:rsid w:val="00C17353"/>
    <w:rsid w:val="00C17860"/>
    <w:rsid w:val="00C2002F"/>
    <w:rsid w:val="00C20CC7"/>
    <w:rsid w:val="00C2161B"/>
    <w:rsid w:val="00C27215"/>
    <w:rsid w:val="00C279B5"/>
    <w:rsid w:val="00C27C45"/>
    <w:rsid w:val="00C30005"/>
    <w:rsid w:val="00C3438E"/>
    <w:rsid w:val="00C344D5"/>
    <w:rsid w:val="00C369F1"/>
    <w:rsid w:val="00C3719D"/>
    <w:rsid w:val="00C37BEF"/>
    <w:rsid w:val="00C37CB2"/>
    <w:rsid w:val="00C40416"/>
    <w:rsid w:val="00C44CEB"/>
    <w:rsid w:val="00C473A5"/>
    <w:rsid w:val="00C54995"/>
    <w:rsid w:val="00C54D41"/>
    <w:rsid w:val="00C60783"/>
    <w:rsid w:val="00C622E1"/>
    <w:rsid w:val="00C64672"/>
    <w:rsid w:val="00C64C63"/>
    <w:rsid w:val="00C65179"/>
    <w:rsid w:val="00C655D0"/>
    <w:rsid w:val="00C7067A"/>
    <w:rsid w:val="00C70697"/>
    <w:rsid w:val="00C70B13"/>
    <w:rsid w:val="00C71F9C"/>
    <w:rsid w:val="00C72093"/>
    <w:rsid w:val="00C72EF4"/>
    <w:rsid w:val="00C744FE"/>
    <w:rsid w:val="00C747A9"/>
    <w:rsid w:val="00C75D2F"/>
    <w:rsid w:val="00C75E64"/>
    <w:rsid w:val="00C767BE"/>
    <w:rsid w:val="00C76E3C"/>
    <w:rsid w:val="00C77FF6"/>
    <w:rsid w:val="00C81568"/>
    <w:rsid w:val="00C81F6D"/>
    <w:rsid w:val="00C87E19"/>
    <w:rsid w:val="00C90154"/>
    <w:rsid w:val="00C9027A"/>
    <w:rsid w:val="00C9068E"/>
    <w:rsid w:val="00C93814"/>
    <w:rsid w:val="00C93C4B"/>
    <w:rsid w:val="00C944AB"/>
    <w:rsid w:val="00C94A61"/>
    <w:rsid w:val="00C95B40"/>
    <w:rsid w:val="00C96027"/>
    <w:rsid w:val="00CA1ED8"/>
    <w:rsid w:val="00CA4AC5"/>
    <w:rsid w:val="00CB1474"/>
    <w:rsid w:val="00CB1F63"/>
    <w:rsid w:val="00CB7170"/>
    <w:rsid w:val="00CC040E"/>
    <w:rsid w:val="00CC111F"/>
    <w:rsid w:val="00CC1C9B"/>
    <w:rsid w:val="00CC2011"/>
    <w:rsid w:val="00CC302F"/>
    <w:rsid w:val="00CC3EA0"/>
    <w:rsid w:val="00CC468F"/>
    <w:rsid w:val="00CC7927"/>
    <w:rsid w:val="00CC7B45"/>
    <w:rsid w:val="00CD1188"/>
    <w:rsid w:val="00CD1D28"/>
    <w:rsid w:val="00CD2ED1"/>
    <w:rsid w:val="00CD337B"/>
    <w:rsid w:val="00CD5413"/>
    <w:rsid w:val="00CD5877"/>
    <w:rsid w:val="00CD6B2A"/>
    <w:rsid w:val="00CD792B"/>
    <w:rsid w:val="00CE0424"/>
    <w:rsid w:val="00CE0BF7"/>
    <w:rsid w:val="00CE2E5D"/>
    <w:rsid w:val="00CE7561"/>
    <w:rsid w:val="00CF0DE3"/>
    <w:rsid w:val="00CF1354"/>
    <w:rsid w:val="00CF3B1F"/>
    <w:rsid w:val="00CF3BA9"/>
    <w:rsid w:val="00CF3BF6"/>
    <w:rsid w:val="00CF625B"/>
    <w:rsid w:val="00CF687E"/>
    <w:rsid w:val="00D00B00"/>
    <w:rsid w:val="00D011FB"/>
    <w:rsid w:val="00D0198E"/>
    <w:rsid w:val="00D020C5"/>
    <w:rsid w:val="00D0349B"/>
    <w:rsid w:val="00D10249"/>
    <w:rsid w:val="00D115C3"/>
    <w:rsid w:val="00D11897"/>
    <w:rsid w:val="00D13135"/>
    <w:rsid w:val="00D13E4E"/>
    <w:rsid w:val="00D239A7"/>
    <w:rsid w:val="00D23F47"/>
    <w:rsid w:val="00D333C2"/>
    <w:rsid w:val="00D33BE7"/>
    <w:rsid w:val="00D368CD"/>
    <w:rsid w:val="00D36E71"/>
    <w:rsid w:val="00D37D87"/>
    <w:rsid w:val="00D4072C"/>
    <w:rsid w:val="00D40B33"/>
    <w:rsid w:val="00D40F2E"/>
    <w:rsid w:val="00D41133"/>
    <w:rsid w:val="00D4318F"/>
    <w:rsid w:val="00D438BF"/>
    <w:rsid w:val="00D440F8"/>
    <w:rsid w:val="00D453DF"/>
    <w:rsid w:val="00D464D2"/>
    <w:rsid w:val="00D47523"/>
    <w:rsid w:val="00D546FF"/>
    <w:rsid w:val="00D54F1F"/>
    <w:rsid w:val="00D55AD5"/>
    <w:rsid w:val="00D576CA"/>
    <w:rsid w:val="00D6046B"/>
    <w:rsid w:val="00D61610"/>
    <w:rsid w:val="00D61AF5"/>
    <w:rsid w:val="00D625E8"/>
    <w:rsid w:val="00D62C6F"/>
    <w:rsid w:val="00D632DF"/>
    <w:rsid w:val="00D652B5"/>
    <w:rsid w:val="00D655E6"/>
    <w:rsid w:val="00D66155"/>
    <w:rsid w:val="00D66788"/>
    <w:rsid w:val="00D66A59"/>
    <w:rsid w:val="00D708B0"/>
    <w:rsid w:val="00D75C47"/>
    <w:rsid w:val="00D76ADA"/>
    <w:rsid w:val="00D77B1D"/>
    <w:rsid w:val="00D8021F"/>
    <w:rsid w:val="00D80383"/>
    <w:rsid w:val="00D823C6"/>
    <w:rsid w:val="00D82C7F"/>
    <w:rsid w:val="00D8327F"/>
    <w:rsid w:val="00D837CE"/>
    <w:rsid w:val="00D84288"/>
    <w:rsid w:val="00D85F8E"/>
    <w:rsid w:val="00D86509"/>
    <w:rsid w:val="00D86CA3"/>
    <w:rsid w:val="00D871CE"/>
    <w:rsid w:val="00D915C1"/>
    <w:rsid w:val="00D9196D"/>
    <w:rsid w:val="00D92336"/>
    <w:rsid w:val="00D924F0"/>
    <w:rsid w:val="00D92982"/>
    <w:rsid w:val="00D93A77"/>
    <w:rsid w:val="00DA305E"/>
    <w:rsid w:val="00DA34D5"/>
    <w:rsid w:val="00DA5417"/>
    <w:rsid w:val="00DA56E8"/>
    <w:rsid w:val="00DB0990"/>
    <w:rsid w:val="00DB0A9F"/>
    <w:rsid w:val="00DB1765"/>
    <w:rsid w:val="00DB377D"/>
    <w:rsid w:val="00DB743C"/>
    <w:rsid w:val="00DC0AF0"/>
    <w:rsid w:val="00DC2541"/>
    <w:rsid w:val="00DC2D36"/>
    <w:rsid w:val="00DC53EF"/>
    <w:rsid w:val="00DC6A50"/>
    <w:rsid w:val="00DD078F"/>
    <w:rsid w:val="00DD2DAA"/>
    <w:rsid w:val="00DD2FDA"/>
    <w:rsid w:val="00DD70C5"/>
    <w:rsid w:val="00DE225E"/>
    <w:rsid w:val="00DE283C"/>
    <w:rsid w:val="00DE5608"/>
    <w:rsid w:val="00DE58D0"/>
    <w:rsid w:val="00DE654F"/>
    <w:rsid w:val="00DF037B"/>
    <w:rsid w:val="00DF08CF"/>
    <w:rsid w:val="00DF0B6E"/>
    <w:rsid w:val="00DF0FAA"/>
    <w:rsid w:val="00DF12C1"/>
    <w:rsid w:val="00DF15E0"/>
    <w:rsid w:val="00DF1EDB"/>
    <w:rsid w:val="00DF3214"/>
    <w:rsid w:val="00DF37A0"/>
    <w:rsid w:val="00DF51F4"/>
    <w:rsid w:val="00DF67E0"/>
    <w:rsid w:val="00DF7F17"/>
    <w:rsid w:val="00E02406"/>
    <w:rsid w:val="00E04648"/>
    <w:rsid w:val="00E072E1"/>
    <w:rsid w:val="00E110E7"/>
    <w:rsid w:val="00E11B20"/>
    <w:rsid w:val="00E17FA2"/>
    <w:rsid w:val="00E22330"/>
    <w:rsid w:val="00E23A8A"/>
    <w:rsid w:val="00E2705B"/>
    <w:rsid w:val="00E27B40"/>
    <w:rsid w:val="00E30B5A"/>
    <w:rsid w:val="00E3123D"/>
    <w:rsid w:val="00E31461"/>
    <w:rsid w:val="00E31D43"/>
    <w:rsid w:val="00E3201C"/>
    <w:rsid w:val="00E32608"/>
    <w:rsid w:val="00E32888"/>
    <w:rsid w:val="00E33AEB"/>
    <w:rsid w:val="00E34188"/>
    <w:rsid w:val="00E342AD"/>
    <w:rsid w:val="00E34B6E"/>
    <w:rsid w:val="00E35559"/>
    <w:rsid w:val="00E3723A"/>
    <w:rsid w:val="00E37368"/>
    <w:rsid w:val="00E37860"/>
    <w:rsid w:val="00E446F1"/>
    <w:rsid w:val="00E46886"/>
    <w:rsid w:val="00E4721D"/>
    <w:rsid w:val="00E47AEF"/>
    <w:rsid w:val="00E53B75"/>
    <w:rsid w:val="00E54E3B"/>
    <w:rsid w:val="00E56F34"/>
    <w:rsid w:val="00E57565"/>
    <w:rsid w:val="00E63838"/>
    <w:rsid w:val="00E64434"/>
    <w:rsid w:val="00E6447C"/>
    <w:rsid w:val="00E66658"/>
    <w:rsid w:val="00E67C51"/>
    <w:rsid w:val="00E71A5C"/>
    <w:rsid w:val="00E72EFC"/>
    <w:rsid w:val="00E73767"/>
    <w:rsid w:val="00E74B3A"/>
    <w:rsid w:val="00E758EC"/>
    <w:rsid w:val="00E76622"/>
    <w:rsid w:val="00E76F96"/>
    <w:rsid w:val="00E8234C"/>
    <w:rsid w:val="00E82614"/>
    <w:rsid w:val="00E82F51"/>
    <w:rsid w:val="00E83532"/>
    <w:rsid w:val="00E83AA9"/>
    <w:rsid w:val="00E83E44"/>
    <w:rsid w:val="00E85928"/>
    <w:rsid w:val="00E8630D"/>
    <w:rsid w:val="00E87822"/>
    <w:rsid w:val="00E90395"/>
    <w:rsid w:val="00E90DC7"/>
    <w:rsid w:val="00E90E49"/>
    <w:rsid w:val="00E917F9"/>
    <w:rsid w:val="00E9291C"/>
    <w:rsid w:val="00E93EED"/>
    <w:rsid w:val="00E93FFE"/>
    <w:rsid w:val="00E94F8A"/>
    <w:rsid w:val="00E9645E"/>
    <w:rsid w:val="00E97ED4"/>
    <w:rsid w:val="00E97F5D"/>
    <w:rsid w:val="00EA1E1A"/>
    <w:rsid w:val="00EA35F9"/>
    <w:rsid w:val="00EA7A41"/>
    <w:rsid w:val="00EB077B"/>
    <w:rsid w:val="00EB1924"/>
    <w:rsid w:val="00EB4EA2"/>
    <w:rsid w:val="00EB4ECD"/>
    <w:rsid w:val="00EB78A6"/>
    <w:rsid w:val="00EC1561"/>
    <w:rsid w:val="00EC24D5"/>
    <w:rsid w:val="00EC27C6"/>
    <w:rsid w:val="00EC34AC"/>
    <w:rsid w:val="00EC4207"/>
    <w:rsid w:val="00EC45A6"/>
    <w:rsid w:val="00EC5653"/>
    <w:rsid w:val="00EC71CE"/>
    <w:rsid w:val="00ED1006"/>
    <w:rsid w:val="00ED402D"/>
    <w:rsid w:val="00ED4F36"/>
    <w:rsid w:val="00EE543B"/>
    <w:rsid w:val="00EF18FE"/>
    <w:rsid w:val="00EF3390"/>
    <w:rsid w:val="00EF524D"/>
    <w:rsid w:val="00EF5787"/>
    <w:rsid w:val="00EF60D0"/>
    <w:rsid w:val="00F01EEA"/>
    <w:rsid w:val="00F0528D"/>
    <w:rsid w:val="00F05B31"/>
    <w:rsid w:val="00F062A7"/>
    <w:rsid w:val="00F06C67"/>
    <w:rsid w:val="00F06DFD"/>
    <w:rsid w:val="00F071D1"/>
    <w:rsid w:val="00F07533"/>
    <w:rsid w:val="00F10629"/>
    <w:rsid w:val="00F11204"/>
    <w:rsid w:val="00F136F9"/>
    <w:rsid w:val="00F144E9"/>
    <w:rsid w:val="00F15FA5"/>
    <w:rsid w:val="00F17241"/>
    <w:rsid w:val="00F209B7"/>
    <w:rsid w:val="00F21347"/>
    <w:rsid w:val="00F2176D"/>
    <w:rsid w:val="00F2203B"/>
    <w:rsid w:val="00F226DD"/>
    <w:rsid w:val="00F23666"/>
    <w:rsid w:val="00F2376F"/>
    <w:rsid w:val="00F23AAF"/>
    <w:rsid w:val="00F23CB6"/>
    <w:rsid w:val="00F243D8"/>
    <w:rsid w:val="00F27DD4"/>
    <w:rsid w:val="00F306E3"/>
    <w:rsid w:val="00F30828"/>
    <w:rsid w:val="00F308AB"/>
    <w:rsid w:val="00F3117D"/>
    <w:rsid w:val="00F313D6"/>
    <w:rsid w:val="00F31AFC"/>
    <w:rsid w:val="00F34E02"/>
    <w:rsid w:val="00F35515"/>
    <w:rsid w:val="00F40F0C"/>
    <w:rsid w:val="00F42EEC"/>
    <w:rsid w:val="00F4423D"/>
    <w:rsid w:val="00F447AF"/>
    <w:rsid w:val="00F467CE"/>
    <w:rsid w:val="00F4766C"/>
    <w:rsid w:val="00F5060E"/>
    <w:rsid w:val="00F507D1"/>
    <w:rsid w:val="00F519CE"/>
    <w:rsid w:val="00F51ADA"/>
    <w:rsid w:val="00F52508"/>
    <w:rsid w:val="00F532A1"/>
    <w:rsid w:val="00F544CC"/>
    <w:rsid w:val="00F546B4"/>
    <w:rsid w:val="00F60203"/>
    <w:rsid w:val="00F607C5"/>
    <w:rsid w:val="00F60DEA"/>
    <w:rsid w:val="00F62DE1"/>
    <w:rsid w:val="00F6302A"/>
    <w:rsid w:val="00F63950"/>
    <w:rsid w:val="00F648C4"/>
    <w:rsid w:val="00F64C2B"/>
    <w:rsid w:val="00F6506D"/>
    <w:rsid w:val="00F651BE"/>
    <w:rsid w:val="00F67F53"/>
    <w:rsid w:val="00F703BE"/>
    <w:rsid w:val="00F71F69"/>
    <w:rsid w:val="00F72B72"/>
    <w:rsid w:val="00F74BB9"/>
    <w:rsid w:val="00F75426"/>
    <w:rsid w:val="00F75582"/>
    <w:rsid w:val="00F75F2D"/>
    <w:rsid w:val="00F76EFA"/>
    <w:rsid w:val="00F804BE"/>
    <w:rsid w:val="00F81727"/>
    <w:rsid w:val="00F817CE"/>
    <w:rsid w:val="00F8456C"/>
    <w:rsid w:val="00F84E11"/>
    <w:rsid w:val="00F859D8"/>
    <w:rsid w:val="00F868F5"/>
    <w:rsid w:val="00F9056A"/>
    <w:rsid w:val="00F90F8D"/>
    <w:rsid w:val="00F92782"/>
    <w:rsid w:val="00F93277"/>
    <w:rsid w:val="00F93AA9"/>
    <w:rsid w:val="00F948A1"/>
    <w:rsid w:val="00F94B79"/>
    <w:rsid w:val="00F96985"/>
    <w:rsid w:val="00F97838"/>
    <w:rsid w:val="00FA2BB3"/>
    <w:rsid w:val="00FA6A18"/>
    <w:rsid w:val="00FB2642"/>
    <w:rsid w:val="00FB4C80"/>
    <w:rsid w:val="00FB4F61"/>
    <w:rsid w:val="00FB6A6A"/>
    <w:rsid w:val="00FC0CCC"/>
    <w:rsid w:val="00FC193D"/>
    <w:rsid w:val="00FC41D0"/>
    <w:rsid w:val="00FC43CE"/>
    <w:rsid w:val="00FC5B57"/>
    <w:rsid w:val="00FC7429"/>
    <w:rsid w:val="00FD07F6"/>
    <w:rsid w:val="00FD11D7"/>
    <w:rsid w:val="00FD1EAE"/>
    <w:rsid w:val="00FD1EC8"/>
    <w:rsid w:val="00FD2C38"/>
    <w:rsid w:val="00FD2DC2"/>
    <w:rsid w:val="00FD47ED"/>
    <w:rsid w:val="00FD6C23"/>
    <w:rsid w:val="00FD74DB"/>
    <w:rsid w:val="00FD7660"/>
    <w:rsid w:val="00FE0655"/>
    <w:rsid w:val="00FE2365"/>
    <w:rsid w:val="00FE362A"/>
    <w:rsid w:val="00FE37D7"/>
    <w:rsid w:val="00FE4C31"/>
    <w:rsid w:val="00FE4C7B"/>
    <w:rsid w:val="00FE6566"/>
    <w:rsid w:val="00FE7336"/>
    <w:rsid w:val="00FE787C"/>
    <w:rsid w:val="00FE789E"/>
    <w:rsid w:val="00FE7FD8"/>
    <w:rsid w:val="00FF0D21"/>
    <w:rsid w:val="00FF45A5"/>
    <w:rsid w:val="00FF506E"/>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 w:type="character" w:customStyle="1" w:styleId="advancedproofingissue">
    <w:name w:val="advancedproofingissue"/>
    <w:basedOn w:val="DefaultParagraphFont"/>
    <w:rsid w:val="005F2CAB"/>
  </w:style>
  <w:style w:type="character" w:customStyle="1" w:styleId="findhit">
    <w:name w:val="findhit"/>
    <w:basedOn w:val="DefaultParagraphFont"/>
    <w:rsid w:val="005F2CAB"/>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40578">
      <w:bodyDiv w:val="1"/>
      <w:marLeft w:val="0"/>
      <w:marRight w:val="0"/>
      <w:marTop w:val="0"/>
      <w:marBottom w:val="0"/>
      <w:divBdr>
        <w:top w:val="none" w:sz="0" w:space="0" w:color="auto"/>
        <w:left w:val="none" w:sz="0" w:space="0" w:color="auto"/>
        <w:bottom w:val="none" w:sz="0" w:space="0" w:color="auto"/>
        <w:right w:val="none" w:sz="0" w:space="0" w:color="auto"/>
      </w:divBdr>
      <w:divsChild>
        <w:div w:id="435950747">
          <w:marLeft w:val="547"/>
          <w:marRight w:val="0"/>
          <w:marTop w:val="60"/>
          <w:marBottom w:val="0"/>
          <w:divBdr>
            <w:top w:val="none" w:sz="0" w:space="0" w:color="auto"/>
            <w:left w:val="none" w:sz="0" w:space="0" w:color="auto"/>
            <w:bottom w:val="none" w:sz="0" w:space="0" w:color="auto"/>
            <w:right w:val="none" w:sz="0" w:space="0" w:color="auto"/>
          </w:divBdr>
        </w:div>
        <w:div w:id="2102680477">
          <w:marLeft w:val="1123"/>
          <w:marRight w:val="0"/>
          <w:marTop w:val="60"/>
          <w:marBottom w:val="0"/>
          <w:divBdr>
            <w:top w:val="none" w:sz="0" w:space="0" w:color="auto"/>
            <w:left w:val="none" w:sz="0" w:space="0" w:color="auto"/>
            <w:bottom w:val="none" w:sz="0" w:space="0" w:color="auto"/>
            <w:right w:val="none" w:sz="0" w:space="0" w:color="auto"/>
          </w:divBdr>
        </w:div>
        <w:div w:id="2111583419">
          <w:marLeft w:val="1123"/>
          <w:marRight w:val="0"/>
          <w:marTop w:val="60"/>
          <w:marBottom w:val="0"/>
          <w:divBdr>
            <w:top w:val="none" w:sz="0" w:space="0" w:color="auto"/>
            <w:left w:val="none" w:sz="0" w:space="0" w:color="auto"/>
            <w:bottom w:val="none" w:sz="0" w:space="0" w:color="auto"/>
            <w:right w:val="none" w:sz="0" w:space="0" w:color="auto"/>
          </w:divBdr>
        </w:div>
        <w:div w:id="1655063791">
          <w:marLeft w:val="1699"/>
          <w:marRight w:val="0"/>
          <w:marTop w:val="60"/>
          <w:marBottom w:val="0"/>
          <w:divBdr>
            <w:top w:val="none" w:sz="0" w:space="0" w:color="auto"/>
            <w:left w:val="none" w:sz="0" w:space="0" w:color="auto"/>
            <w:bottom w:val="none" w:sz="0" w:space="0" w:color="auto"/>
            <w:right w:val="none" w:sz="0" w:space="0" w:color="auto"/>
          </w:divBdr>
        </w:div>
        <w:div w:id="725179456">
          <w:marLeft w:val="1699"/>
          <w:marRight w:val="0"/>
          <w:marTop w:val="60"/>
          <w:marBottom w:val="0"/>
          <w:divBdr>
            <w:top w:val="none" w:sz="0" w:space="0" w:color="auto"/>
            <w:left w:val="none" w:sz="0" w:space="0" w:color="auto"/>
            <w:bottom w:val="none" w:sz="0" w:space="0" w:color="auto"/>
            <w:right w:val="none" w:sz="0" w:space="0" w:color="auto"/>
          </w:divBdr>
        </w:div>
        <w:div w:id="1185174541">
          <w:marLeft w:val="1123"/>
          <w:marRight w:val="0"/>
          <w:marTop w:val="60"/>
          <w:marBottom w:val="0"/>
          <w:divBdr>
            <w:top w:val="none" w:sz="0" w:space="0" w:color="auto"/>
            <w:left w:val="none" w:sz="0" w:space="0" w:color="auto"/>
            <w:bottom w:val="none" w:sz="0" w:space="0" w:color="auto"/>
            <w:right w:val="none" w:sz="0" w:space="0" w:color="auto"/>
          </w:divBdr>
        </w:div>
        <w:div w:id="2121291360">
          <w:marLeft w:val="1699"/>
          <w:marRight w:val="0"/>
          <w:marTop w:val="60"/>
          <w:marBottom w:val="0"/>
          <w:divBdr>
            <w:top w:val="none" w:sz="0" w:space="0" w:color="auto"/>
            <w:left w:val="none" w:sz="0" w:space="0" w:color="auto"/>
            <w:bottom w:val="none" w:sz="0" w:space="0" w:color="auto"/>
            <w:right w:val="none" w:sz="0" w:space="0" w:color="auto"/>
          </w:divBdr>
        </w:div>
        <w:div w:id="501235314">
          <w:marLeft w:val="2261"/>
          <w:marRight w:val="0"/>
          <w:marTop w:val="60"/>
          <w:marBottom w:val="0"/>
          <w:divBdr>
            <w:top w:val="none" w:sz="0" w:space="0" w:color="auto"/>
            <w:left w:val="none" w:sz="0" w:space="0" w:color="auto"/>
            <w:bottom w:val="none" w:sz="0" w:space="0" w:color="auto"/>
            <w:right w:val="none" w:sz="0" w:space="0" w:color="auto"/>
          </w:divBdr>
        </w:div>
        <w:div w:id="1590119506">
          <w:marLeft w:val="1699"/>
          <w:marRight w:val="0"/>
          <w:marTop w:val="60"/>
          <w:marBottom w:val="0"/>
          <w:divBdr>
            <w:top w:val="none" w:sz="0" w:space="0" w:color="auto"/>
            <w:left w:val="none" w:sz="0" w:space="0" w:color="auto"/>
            <w:bottom w:val="none" w:sz="0" w:space="0" w:color="auto"/>
            <w:right w:val="none" w:sz="0" w:space="0" w:color="auto"/>
          </w:divBdr>
        </w:div>
        <w:div w:id="1882866397">
          <w:marLeft w:val="1123"/>
          <w:marRight w:val="0"/>
          <w:marTop w:val="60"/>
          <w:marBottom w:val="0"/>
          <w:divBdr>
            <w:top w:val="none" w:sz="0" w:space="0" w:color="auto"/>
            <w:left w:val="none" w:sz="0" w:space="0" w:color="auto"/>
            <w:bottom w:val="none" w:sz="0" w:space="0" w:color="auto"/>
            <w:right w:val="none" w:sz="0" w:space="0" w:color="auto"/>
          </w:divBdr>
        </w:div>
        <w:div w:id="488641488">
          <w:marLeft w:val="1699"/>
          <w:marRight w:val="0"/>
          <w:marTop w:val="60"/>
          <w:marBottom w:val="0"/>
          <w:divBdr>
            <w:top w:val="none" w:sz="0" w:space="0" w:color="auto"/>
            <w:left w:val="none" w:sz="0" w:space="0" w:color="auto"/>
            <w:bottom w:val="none" w:sz="0" w:space="0" w:color="auto"/>
            <w:right w:val="none" w:sz="0" w:space="0" w:color="auto"/>
          </w:divBdr>
        </w:div>
        <w:div w:id="214196162">
          <w:marLeft w:val="1123"/>
          <w:marRight w:val="0"/>
          <w:marTop w:val="60"/>
          <w:marBottom w:val="0"/>
          <w:divBdr>
            <w:top w:val="none" w:sz="0" w:space="0" w:color="auto"/>
            <w:left w:val="none" w:sz="0" w:space="0" w:color="auto"/>
            <w:bottom w:val="none" w:sz="0" w:space="0" w:color="auto"/>
            <w:right w:val="none" w:sz="0" w:space="0" w:color="auto"/>
          </w:divBdr>
        </w:div>
        <w:div w:id="2107386816">
          <w:marLeft w:val="1123"/>
          <w:marRight w:val="0"/>
          <w:marTop w:val="60"/>
          <w:marBottom w:val="0"/>
          <w:divBdr>
            <w:top w:val="none" w:sz="0" w:space="0" w:color="auto"/>
            <w:left w:val="none" w:sz="0" w:space="0" w:color="auto"/>
            <w:bottom w:val="none" w:sz="0" w:space="0" w:color="auto"/>
            <w:right w:val="none" w:sz="0" w:space="0" w:color="auto"/>
          </w:divBdr>
        </w:div>
        <w:div w:id="158889749">
          <w:marLeft w:val="1699"/>
          <w:marRight w:val="0"/>
          <w:marTop w:val="60"/>
          <w:marBottom w:val="0"/>
          <w:divBdr>
            <w:top w:val="none" w:sz="0" w:space="0" w:color="auto"/>
            <w:left w:val="none" w:sz="0" w:space="0" w:color="auto"/>
            <w:bottom w:val="none" w:sz="0" w:space="0" w:color="auto"/>
            <w:right w:val="none" w:sz="0" w:space="0" w:color="auto"/>
          </w:divBdr>
        </w:div>
      </w:divsChild>
    </w:div>
    <w:div w:id="83689615">
      <w:bodyDiv w:val="1"/>
      <w:marLeft w:val="0"/>
      <w:marRight w:val="0"/>
      <w:marTop w:val="0"/>
      <w:marBottom w:val="0"/>
      <w:divBdr>
        <w:top w:val="none" w:sz="0" w:space="0" w:color="auto"/>
        <w:left w:val="none" w:sz="0" w:space="0" w:color="auto"/>
        <w:bottom w:val="none" w:sz="0" w:space="0" w:color="auto"/>
        <w:right w:val="none" w:sz="0" w:space="0" w:color="auto"/>
      </w:divBdr>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39421713">
      <w:bodyDiv w:val="1"/>
      <w:marLeft w:val="0"/>
      <w:marRight w:val="0"/>
      <w:marTop w:val="0"/>
      <w:marBottom w:val="0"/>
      <w:divBdr>
        <w:top w:val="none" w:sz="0" w:space="0" w:color="auto"/>
        <w:left w:val="none" w:sz="0" w:space="0" w:color="auto"/>
        <w:bottom w:val="none" w:sz="0" w:space="0" w:color="auto"/>
        <w:right w:val="none" w:sz="0" w:space="0" w:color="auto"/>
      </w:divBdr>
    </w:div>
    <w:div w:id="549269587">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17949912">
      <w:bodyDiv w:val="1"/>
      <w:marLeft w:val="0"/>
      <w:marRight w:val="0"/>
      <w:marTop w:val="0"/>
      <w:marBottom w:val="0"/>
      <w:divBdr>
        <w:top w:val="none" w:sz="0" w:space="0" w:color="auto"/>
        <w:left w:val="none" w:sz="0" w:space="0" w:color="auto"/>
        <w:bottom w:val="none" w:sz="0" w:space="0" w:color="auto"/>
        <w:right w:val="none" w:sz="0" w:space="0" w:color="auto"/>
      </w:divBdr>
      <w:divsChild>
        <w:div w:id="946349943">
          <w:marLeft w:val="0"/>
          <w:marRight w:val="0"/>
          <w:marTop w:val="0"/>
          <w:marBottom w:val="0"/>
          <w:divBdr>
            <w:top w:val="none" w:sz="0" w:space="0" w:color="auto"/>
            <w:left w:val="none" w:sz="0" w:space="0" w:color="auto"/>
            <w:bottom w:val="none" w:sz="0" w:space="0" w:color="auto"/>
            <w:right w:val="none" w:sz="0" w:space="0" w:color="auto"/>
          </w:divBdr>
          <w:divsChild>
            <w:div w:id="966155405">
              <w:marLeft w:val="0"/>
              <w:marRight w:val="0"/>
              <w:marTop w:val="0"/>
              <w:marBottom w:val="0"/>
              <w:divBdr>
                <w:top w:val="none" w:sz="0" w:space="0" w:color="auto"/>
                <w:left w:val="none" w:sz="0" w:space="0" w:color="auto"/>
                <w:bottom w:val="none" w:sz="0" w:space="0" w:color="auto"/>
                <w:right w:val="none" w:sz="0" w:space="0" w:color="auto"/>
              </w:divBdr>
              <w:divsChild>
                <w:div w:id="359668716">
                  <w:marLeft w:val="0"/>
                  <w:marRight w:val="0"/>
                  <w:marTop w:val="0"/>
                  <w:marBottom w:val="0"/>
                  <w:divBdr>
                    <w:top w:val="none" w:sz="0" w:space="0" w:color="auto"/>
                    <w:left w:val="none" w:sz="0" w:space="0" w:color="auto"/>
                    <w:bottom w:val="none" w:sz="0" w:space="0" w:color="auto"/>
                    <w:right w:val="none" w:sz="0" w:space="0" w:color="auto"/>
                  </w:divBdr>
                  <w:divsChild>
                    <w:div w:id="715616875">
                      <w:marLeft w:val="0"/>
                      <w:marRight w:val="0"/>
                      <w:marTop w:val="0"/>
                      <w:marBottom w:val="0"/>
                      <w:divBdr>
                        <w:top w:val="none" w:sz="0" w:space="0" w:color="auto"/>
                        <w:left w:val="none" w:sz="0" w:space="0" w:color="auto"/>
                        <w:bottom w:val="none" w:sz="0" w:space="0" w:color="auto"/>
                        <w:right w:val="none" w:sz="0" w:space="0" w:color="auto"/>
                      </w:divBdr>
                      <w:divsChild>
                        <w:div w:id="2144695445">
                          <w:marLeft w:val="0"/>
                          <w:marRight w:val="0"/>
                          <w:marTop w:val="0"/>
                          <w:marBottom w:val="0"/>
                          <w:divBdr>
                            <w:top w:val="none" w:sz="0" w:space="0" w:color="auto"/>
                            <w:left w:val="none" w:sz="0" w:space="0" w:color="auto"/>
                            <w:bottom w:val="none" w:sz="0" w:space="0" w:color="auto"/>
                            <w:right w:val="none" w:sz="0" w:space="0" w:color="auto"/>
                          </w:divBdr>
                          <w:divsChild>
                            <w:div w:id="614797003">
                              <w:marLeft w:val="0"/>
                              <w:marRight w:val="0"/>
                              <w:marTop w:val="0"/>
                              <w:marBottom w:val="0"/>
                              <w:divBdr>
                                <w:top w:val="none" w:sz="0" w:space="0" w:color="auto"/>
                                <w:left w:val="none" w:sz="0" w:space="0" w:color="auto"/>
                                <w:bottom w:val="none" w:sz="0" w:space="0" w:color="auto"/>
                                <w:right w:val="none" w:sz="0" w:space="0" w:color="auto"/>
                              </w:divBdr>
                              <w:divsChild>
                                <w:div w:id="200360005">
                                  <w:marLeft w:val="0"/>
                                  <w:marRight w:val="0"/>
                                  <w:marTop w:val="0"/>
                                  <w:marBottom w:val="0"/>
                                  <w:divBdr>
                                    <w:top w:val="none" w:sz="0" w:space="0" w:color="auto"/>
                                    <w:left w:val="none" w:sz="0" w:space="0" w:color="auto"/>
                                    <w:bottom w:val="none" w:sz="0" w:space="0" w:color="auto"/>
                                    <w:right w:val="none" w:sz="0" w:space="0" w:color="auto"/>
                                  </w:divBdr>
                                  <w:divsChild>
                                    <w:div w:id="520708233">
                                      <w:marLeft w:val="0"/>
                                      <w:marRight w:val="0"/>
                                      <w:marTop w:val="0"/>
                                      <w:marBottom w:val="0"/>
                                      <w:divBdr>
                                        <w:top w:val="none" w:sz="0" w:space="0" w:color="auto"/>
                                        <w:left w:val="none" w:sz="0" w:space="0" w:color="auto"/>
                                        <w:bottom w:val="none" w:sz="0" w:space="0" w:color="auto"/>
                                        <w:right w:val="none" w:sz="0" w:space="0" w:color="auto"/>
                                      </w:divBdr>
                                      <w:divsChild>
                                        <w:div w:id="640383072">
                                          <w:marLeft w:val="0"/>
                                          <w:marRight w:val="0"/>
                                          <w:marTop w:val="0"/>
                                          <w:marBottom w:val="0"/>
                                          <w:divBdr>
                                            <w:top w:val="none" w:sz="0" w:space="0" w:color="auto"/>
                                            <w:left w:val="none" w:sz="0" w:space="0" w:color="auto"/>
                                            <w:bottom w:val="none" w:sz="0" w:space="0" w:color="auto"/>
                                            <w:right w:val="none" w:sz="0" w:space="0" w:color="auto"/>
                                          </w:divBdr>
                                          <w:divsChild>
                                            <w:div w:id="128057892">
                                              <w:marLeft w:val="0"/>
                                              <w:marRight w:val="0"/>
                                              <w:marTop w:val="0"/>
                                              <w:marBottom w:val="0"/>
                                              <w:divBdr>
                                                <w:top w:val="none" w:sz="0" w:space="0" w:color="auto"/>
                                                <w:left w:val="none" w:sz="0" w:space="0" w:color="auto"/>
                                                <w:bottom w:val="none" w:sz="0" w:space="0" w:color="auto"/>
                                                <w:right w:val="none" w:sz="0" w:space="0" w:color="auto"/>
                                              </w:divBdr>
                                              <w:divsChild>
                                                <w:div w:id="2001499978">
                                                  <w:marLeft w:val="0"/>
                                                  <w:marRight w:val="0"/>
                                                  <w:marTop w:val="0"/>
                                                  <w:marBottom w:val="0"/>
                                                  <w:divBdr>
                                                    <w:top w:val="none" w:sz="0" w:space="0" w:color="auto"/>
                                                    <w:left w:val="none" w:sz="0" w:space="0" w:color="auto"/>
                                                    <w:bottom w:val="none" w:sz="0" w:space="0" w:color="auto"/>
                                                    <w:right w:val="none" w:sz="0" w:space="0" w:color="auto"/>
                                                  </w:divBdr>
                                                  <w:divsChild>
                                                    <w:div w:id="1925841006">
                                                      <w:marLeft w:val="0"/>
                                                      <w:marRight w:val="0"/>
                                                      <w:marTop w:val="0"/>
                                                      <w:marBottom w:val="0"/>
                                                      <w:divBdr>
                                                        <w:top w:val="single" w:sz="6" w:space="0" w:color="ABABAB"/>
                                                        <w:left w:val="single" w:sz="6" w:space="0" w:color="ABABAB"/>
                                                        <w:bottom w:val="none" w:sz="0" w:space="0" w:color="auto"/>
                                                        <w:right w:val="single" w:sz="6" w:space="0" w:color="ABABAB"/>
                                                      </w:divBdr>
                                                      <w:divsChild>
                                                        <w:div w:id="1315570748">
                                                          <w:marLeft w:val="0"/>
                                                          <w:marRight w:val="0"/>
                                                          <w:marTop w:val="0"/>
                                                          <w:marBottom w:val="0"/>
                                                          <w:divBdr>
                                                            <w:top w:val="none" w:sz="0" w:space="0" w:color="auto"/>
                                                            <w:left w:val="none" w:sz="0" w:space="0" w:color="auto"/>
                                                            <w:bottom w:val="none" w:sz="0" w:space="0" w:color="auto"/>
                                                            <w:right w:val="none" w:sz="0" w:space="0" w:color="auto"/>
                                                          </w:divBdr>
                                                          <w:divsChild>
                                                            <w:div w:id="322009469">
                                                              <w:marLeft w:val="0"/>
                                                              <w:marRight w:val="0"/>
                                                              <w:marTop w:val="0"/>
                                                              <w:marBottom w:val="0"/>
                                                              <w:divBdr>
                                                                <w:top w:val="none" w:sz="0" w:space="0" w:color="auto"/>
                                                                <w:left w:val="none" w:sz="0" w:space="0" w:color="auto"/>
                                                                <w:bottom w:val="none" w:sz="0" w:space="0" w:color="auto"/>
                                                                <w:right w:val="none" w:sz="0" w:space="0" w:color="auto"/>
                                                              </w:divBdr>
                                                              <w:divsChild>
                                                                <w:div w:id="104736918">
                                                                  <w:marLeft w:val="0"/>
                                                                  <w:marRight w:val="0"/>
                                                                  <w:marTop w:val="0"/>
                                                                  <w:marBottom w:val="0"/>
                                                                  <w:divBdr>
                                                                    <w:top w:val="none" w:sz="0" w:space="0" w:color="auto"/>
                                                                    <w:left w:val="none" w:sz="0" w:space="0" w:color="auto"/>
                                                                    <w:bottom w:val="none" w:sz="0" w:space="0" w:color="auto"/>
                                                                    <w:right w:val="none" w:sz="0" w:space="0" w:color="auto"/>
                                                                  </w:divBdr>
                                                                  <w:divsChild>
                                                                    <w:div w:id="1931811695">
                                                                      <w:marLeft w:val="0"/>
                                                                      <w:marRight w:val="0"/>
                                                                      <w:marTop w:val="0"/>
                                                                      <w:marBottom w:val="0"/>
                                                                      <w:divBdr>
                                                                        <w:top w:val="none" w:sz="0" w:space="0" w:color="auto"/>
                                                                        <w:left w:val="none" w:sz="0" w:space="0" w:color="auto"/>
                                                                        <w:bottom w:val="none" w:sz="0" w:space="0" w:color="auto"/>
                                                                        <w:right w:val="none" w:sz="0" w:space="0" w:color="auto"/>
                                                                      </w:divBdr>
                                                                      <w:divsChild>
                                                                        <w:div w:id="254018029">
                                                                          <w:marLeft w:val="0"/>
                                                                          <w:marRight w:val="0"/>
                                                                          <w:marTop w:val="0"/>
                                                                          <w:marBottom w:val="0"/>
                                                                          <w:divBdr>
                                                                            <w:top w:val="none" w:sz="0" w:space="0" w:color="auto"/>
                                                                            <w:left w:val="none" w:sz="0" w:space="0" w:color="auto"/>
                                                                            <w:bottom w:val="none" w:sz="0" w:space="0" w:color="auto"/>
                                                                            <w:right w:val="none" w:sz="0" w:space="0" w:color="auto"/>
                                                                          </w:divBdr>
                                                                          <w:divsChild>
                                                                            <w:div w:id="2127919610">
                                                                              <w:marLeft w:val="0"/>
                                                                              <w:marRight w:val="0"/>
                                                                              <w:marTop w:val="0"/>
                                                                              <w:marBottom w:val="0"/>
                                                                              <w:divBdr>
                                                                                <w:top w:val="none" w:sz="0" w:space="0" w:color="auto"/>
                                                                                <w:left w:val="none" w:sz="0" w:space="0" w:color="auto"/>
                                                                                <w:bottom w:val="none" w:sz="0" w:space="0" w:color="auto"/>
                                                                                <w:right w:val="none" w:sz="0" w:space="0" w:color="auto"/>
                                                                              </w:divBdr>
                                                                              <w:divsChild>
                                                                                <w:div w:id="173893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123913">
      <w:bodyDiv w:val="1"/>
      <w:marLeft w:val="0"/>
      <w:marRight w:val="0"/>
      <w:marTop w:val="0"/>
      <w:marBottom w:val="0"/>
      <w:divBdr>
        <w:top w:val="none" w:sz="0" w:space="0" w:color="auto"/>
        <w:left w:val="none" w:sz="0" w:space="0" w:color="auto"/>
        <w:bottom w:val="none" w:sz="0" w:space="0" w:color="auto"/>
        <w:right w:val="none" w:sz="0" w:space="0" w:color="auto"/>
      </w:divBdr>
    </w:div>
    <w:div w:id="6852516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994063984">
      <w:bodyDiv w:val="1"/>
      <w:marLeft w:val="0"/>
      <w:marRight w:val="0"/>
      <w:marTop w:val="0"/>
      <w:marBottom w:val="0"/>
      <w:divBdr>
        <w:top w:val="none" w:sz="0" w:space="0" w:color="auto"/>
        <w:left w:val="none" w:sz="0" w:space="0" w:color="auto"/>
        <w:bottom w:val="none" w:sz="0" w:space="0" w:color="auto"/>
        <w:right w:val="none" w:sz="0" w:space="0" w:color="auto"/>
      </w:divBdr>
      <w:divsChild>
        <w:div w:id="1820536016">
          <w:marLeft w:val="0"/>
          <w:marRight w:val="0"/>
          <w:marTop w:val="0"/>
          <w:marBottom w:val="0"/>
          <w:divBdr>
            <w:top w:val="none" w:sz="0" w:space="0" w:color="auto"/>
            <w:left w:val="none" w:sz="0" w:space="0" w:color="auto"/>
            <w:bottom w:val="none" w:sz="0" w:space="0" w:color="auto"/>
            <w:right w:val="none" w:sz="0" w:space="0" w:color="auto"/>
          </w:divBdr>
          <w:divsChild>
            <w:div w:id="872613641">
              <w:marLeft w:val="0"/>
              <w:marRight w:val="0"/>
              <w:marTop w:val="0"/>
              <w:marBottom w:val="0"/>
              <w:divBdr>
                <w:top w:val="none" w:sz="0" w:space="0" w:color="auto"/>
                <w:left w:val="none" w:sz="0" w:space="0" w:color="auto"/>
                <w:bottom w:val="none" w:sz="0" w:space="0" w:color="auto"/>
                <w:right w:val="none" w:sz="0" w:space="0" w:color="auto"/>
              </w:divBdr>
              <w:divsChild>
                <w:div w:id="1016466711">
                  <w:marLeft w:val="0"/>
                  <w:marRight w:val="0"/>
                  <w:marTop w:val="0"/>
                  <w:marBottom w:val="0"/>
                  <w:divBdr>
                    <w:top w:val="none" w:sz="0" w:space="0" w:color="auto"/>
                    <w:left w:val="none" w:sz="0" w:space="0" w:color="auto"/>
                    <w:bottom w:val="none" w:sz="0" w:space="0" w:color="auto"/>
                    <w:right w:val="none" w:sz="0" w:space="0" w:color="auto"/>
                  </w:divBdr>
                  <w:divsChild>
                    <w:div w:id="832768536">
                      <w:marLeft w:val="0"/>
                      <w:marRight w:val="0"/>
                      <w:marTop w:val="0"/>
                      <w:marBottom w:val="0"/>
                      <w:divBdr>
                        <w:top w:val="none" w:sz="0" w:space="0" w:color="auto"/>
                        <w:left w:val="none" w:sz="0" w:space="0" w:color="auto"/>
                        <w:bottom w:val="none" w:sz="0" w:space="0" w:color="auto"/>
                        <w:right w:val="none" w:sz="0" w:space="0" w:color="auto"/>
                      </w:divBdr>
                      <w:divsChild>
                        <w:div w:id="306591429">
                          <w:marLeft w:val="0"/>
                          <w:marRight w:val="0"/>
                          <w:marTop w:val="0"/>
                          <w:marBottom w:val="0"/>
                          <w:divBdr>
                            <w:top w:val="none" w:sz="0" w:space="0" w:color="auto"/>
                            <w:left w:val="none" w:sz="0" w:space="0" w:color="auto"/>
                            <w:bottom w:val="none" w:sz="0" w:space="0" w:color="auto"/>
                            <w:right w:val="none" w:sz="0" w:space="0" w:color="auto"/>
                          </w:divBdr>
                          <w:divsChild>
                            <w:div w:id="355232746">
                              <w:marLeft w:val="0"/>
                              <w:marRight w:val="0"/>
                              <w:marTop w:val="0"/>
                              <w:marBottom w:val="0"/>
                              <w:divBdr>
                                <w:top w:val="none" w:sz="0" w:space="0" w:color="auto"/>
                                <w:left w:val="none" w:sz="0" w:space="0" w:color="auto"/>
                                <w:bottom w:val="none" w:sz="0" w:space="0" w:color="auto"/>
                                <w:right w:val="none" w:sz="0" w:space="0" w:color="auto"/>
                              </w:divBdr>
                              <w:divsChild>
                                <w:div w:id="1640190819">
                                  <w:marLeft w:val="0"/>
                                  <w:marRight w:val="0"/>
                                  <w:marTop w:val="0"/>
                                  <w:marBottom w:val="0"/>
                                  <w:divBdr>
                                    <w:top w:val="none" w:sz="0" w:space="0" w:color="auto"/>
                                    <w:left w:val="none" w:sz="0" w:space="0" w:color="auto"/>
                                    <w:bottom w:val="none" w:sz="0" w:space="0" w:color="auto"/>
                                    <w:right w:val="none" w:sz="0" w:space="0" w:color="auto"/>
                                  </w:divBdr>
                                  <w:divsChild>
                                    <w:div w:id="1347901549">
                                      <w:marLeft w:val="0"/>
                                      <w:marRight w:val="0"/>
                                      <w:marTop w:val="0"/>
                                      <w:marBottom w:val="0"/>
                                      <w:divBdr>
                                        <w:top w:val="none" w:sz="0" w:space="0" w:color="auto"/>
                                        <w:left w:val="none" w:sz="0" w:space="0" w:color="auto"/>
                                        <w:bottom w:val="none" w:sz="0" w:space="0" w:color="auto"/>
                                        <w:right w:val="none" w:sz="0" w:space="0" w:color="auto"/>
                                      </w:divBdr>
                                      <w:divsChild>
                                        <w:div w:id="197550456">
                                          <w:marLeft w:val="0"/>
                                          <w:marRight w:val="0"/>
                                          <w:marTop w:val="0"/>
                                          <w:marBottom w:val="0"/>
                                          <w:divBdr>
                                            <w:top w:val="none" w:sz="0" w:space="0" w:color="auto"/>
                                            <w:left w:val="none" w:sz="0" w:space="0" w:color="auto"/>
                                            <w:bottom w:val="none" w:sz="0" w:space="0" w:color="auto"/>
                                            <w:right w:val="none" w:sz="0" w:space="0" w:color="auto"/>
                                          </w:divBdr>
                                          <w:divsChild>
                                            <w:div w:id="973876427">
                                              <w:marLeft w:val="0"/>
                                              <w:marRight w:val="0"/>
                                              <w:marTop w:val="0"/>
                                              <w:marBottom w:val="0"/>
                                              <w:divBdr>
                                                <w:top w:val="none" w:sz="0" w:space="0" w:color="auto"/>
                                                <w:left w:val="none" w:sz="0" w:space="0" w:color="auto"/>
                                                <w:bottom w:val="none" w:sz="0" w:space="0" w:color="auto"/>
                                                <w:right w:val="none" w:sz="0" w:space="0" w:color="auto"/>
                                              </w:divBdr>
                                              <w:divsChild>
                                                <w:div w:id="180507382">
                                                  <w:marLeft w:val="0"/>
                                                  <w:marRight w:val="0"/>
                                                  <w:marTop w:val="0"/>
                                                  <w:marBottom w:val="0"/>
                                                  <w:divBdr>
                                                    <w:top w:val="none" w:sz="0" w:space="0" w:color="auto"/>
                                                    <w:left w:val="none" w:sz="0" w:space="0" w:color="auto"/>
                                                    <w:bottom w:val="none" w:sz="0" w:space="0" w:color="auto"/>
                                                    <w:right w:val="none" w:sz="0" w:space="0" w:color="auto"/>
                                                  </w:divBdr>
                                                  <w:divsChild>
                                                    <w:div w:id="88427085">
                                                      <w:marLeft w:val="0"/>
                                                      <w:marRight w:val="0"/>
                                                      <w:marTop w:val="0"/>
                                                      <w:marBottom w:val="0"/>
                                                      <w:divBdr>
                                                        <w:top w:val="single" w:sz="6" w:space="0" w:color="ABABAB"/>
                                                        <w:left w:val="single" w:sz="6" w:space="0" w:color="ABABAB"/>
                                                        <w:bottom w:val="none" w:sz="0" w:space="0" w:color="auto"/>
                                                        <w:right w:val="single" w:sz="6" w:space="0" w:color="ABABAB"/>
                                                      </w:divBdr>
                                                      <w:divsChild>
                                                        <w:div w:id="1224868797">
                                                          <w:marLeft w:val="0"/>
                                                          <w:marRight w:val="0"/>
                                                          <w:marTop w:val="0"/>
                                                          <w:marBottom w:val="0"/>
                                                          <w:divBdr>
                                                            <w:top w:val="none" w:sz="0" w:space="0" w:color="auto"/>
                                                            <w:left w:val="none" w:sz="0" w:space="0" w:color="auto"/>
                                                            <w:bottom w:val="none" w:sz="0" w:space="0" w:color="auto"/>
                                                            <w:right w:val="none" w:sz="0" w:space="0" w:color="auto"/>
                                                          </w:divBdr>
                                                          <w:divsChild>
                                                            <w:div w:id="223954093">
                                                              <w:marLeft w:val="0"/>
                                                              <w:marRight w:val="0"/>
                                                              <w:marTop w:val="0"/>
                                                              <w:marBottom w:val="0"/>
                                                              <w:divBdr>
                                                                <w:top w:val="none" w:sz="0" w:space="0" w:color="auto"/>
                                                                <w:left w:val="none" w:sz="0" w:space="0" w:color="auto"/>
                                                                <w:bottom w:val="none" w:sz="0" w:space="0" w:color="auto"/>
                                                                <w:right w:val="none" w:sz="0" w:space="0" w:color="auto"/>
                                                              </w:divBdr>
                                                              <w:divsChild>
                                                                <w:div w:id="1638144843">
                                                                  <w:marLeft w:val="0"/>
                                                                  <w:marRight w:val="0"/>
                                                                  <w:marTop w:val="0"/>
                                                                  <w:marBottom w:val="0"/>
                                                                  <w:divBdr>
                                                                    <w:top w:val="none" w:sz="0" w:space="0" w:color="auto"/>
                                                                    <w:left w:val="none" w:sz="0" w:space="0" w:color="auto"/>
                                                                    <w:bottom w:val="none" w:sz="0" w:space="0" w:color="auto"/>
                                                                    <w:right w:val="none" w:sz="0" w:space="0" w:color="auto"/>
                                                                  </w:divBdr>
                                                                  <w:divsChild>
                                                                    <w:div w:id="1738044160">
                                                                      <w:marLeft w:val="0"/>
                                                                      <w:marRight w:val="0"/>
                                                                      <w:marTop w:val="0"/>
                                                                      <w:marBottom w:val="0"/>
                                                                      <w:divBdr>
                                                                        <w:top w:val="none" w:sz="0" w:space="0" w:color="auto"/>
                                                                        <w:left w:val="none" w:sz="0" w:space="0" w:color="auto"/>
                                                                        <w:bottom w:val="none" w:sz="0" w:space="0" w:color="auto"/>
                                                                        <w:right w:val="none" w:sz="0" w:space="0" w:color="auto"/>
                                                                      </w:divBdr>
                                                                      <w:divsChild>
                                                                        <w:div w:id="103119593">
                                                                          <w:marLeft w:val="0"/>
                                                                          <w:marRight w:val="0"/>
                                                                          <w:marTop w:val="0"/>
                                                                          <w:marBottom w:val="0"/>
                                                                          <w:divBdr>
                                                                            <w:top w:val="none" w:sz="0" w:space="0" w:color="auto"/>
                                                                            <w:left w:val="none" w:sz="0" w:space="0" w:color="auto"/>
                                                                            <w:bottom w:val="none" w:sz="0" w:space="0" w:color="auto"/>
                                                                            <w:right w:val="none" w:sz="0" w:space="0" w:color="auto"/>
                                                                          </w:divBdr>
                                                                          <w:divsChild>
                                                                            <w:div w:id="669529315">
                                                                              <w:marLeft w:val="0"/>
                                                                              <w:marRight w:val="0"/>
                                                                              <w:marTop w:val="0"/>
                                                                              <w:marBottom w:val="0"/>
                                                                              <w:divBdr>
                                                                                <w:top w:val="none" w:sz="0" w:space="0" w:color="auto"/>
                                                                                <w:left w:val="none" w:sz="0" w:space="0" w:color="auto"/>
                                                                                <w:bottom w:val="none" w:sz="0" w:space="0" w:color="auto"/>
                                                                                <w:right w:val="none" w:sz="0" w:space="0" w:color="auto"/>
                                                                              </w:divBdr>
                                                                              <w:divsChild>
                                                                                <w:div w:id="186725344">
                                                                                  <w:marLeft w:val="0"/>
                                                                                  <w:marRight w:val="0"/>
                                                                                  <w:marTop w:val="0"/>
                                                                                  <w:marBottom w:val="0"/>
                                                                                  <w:divBdr>
                                                                                    <w:top w:val="none" w:sz="0" w:space="0" w:color="auto"/>
                                                                                    <w:left w:val="none" w:sz="0" w:space="0" w:color="auto"/>
                                                                                    <w:bottom w:val="none" w:sz="0" w:space="0" w:color="auto"/>
                                                                                    <w:right w:val="none" w:sz="0" w:space="0" w:color="auto"/>
                                                                                  </w:divBdr>
                                                                                  <w:divsChild>
                                                                                    <w:div w:id="432096088">
                                                                                      <w:marLeft w:val="0"/>
                                                                                      <w:marRight w:val="0"/>
                                                                                      <w:marTop w:val="0"/>
                                                                                      <w:marBottom w:val="0"/>
                                                                                      <w:divBdr>
                                                                                        <w:top w:val="none" w:sz="0" w:space="0" w:color="auto"/>
                                                                                        <w:left w:val="none" w:sz="0" w:space="0" w:color="auto"/>
                                                                                        <w:bottom w:val="none" w:sz="0" w:space="0" w:color="auto"/>
                                                                                        <w:right w:val="none" w:sz="0" w:space="0" w:color="auto"/>
                                                                                      </w:divBdr>
                                                                                    </w:div>
                                                                                    <w:div w:id="428895006">
                                                                                      <w:marLeft w:val="0"/>
                                                                                      <w:marRight w:val="0"/>
                                                                                      <w:marTop w:val="0"/>
                                                                                      <w:marBottom w:val="0"/>
                                                                                      <w:divBdr>
                                                                                        <w:top w:val="none" w:sz="0" w:space="0" w:color="auto"/>
                                                                                        <w:left w:val="none" w:sz="0" w:space="0" w:color="auto"/>
                                                                                        <w:bottom w:val="none" w:sz="0" w:space="0" w:color="auto"/>
                                                                                        <w:right w:val="none" w:sz="0" w:space="0" w:color="auto"/>
                                                                                      </w:divBdr>
                                                                                    </w:div>
                                                                                    <w:div w:id="2044670853">
                                                                                      <w:marLeft w:val="0"/>
                                                                                      <w:marRight w:val="0"/>
                                                                                      <w:marTop w:val="0"/>
                                                                                      <w:marBottom w:val="0"/>
                                                                                      <w:divBdr>
                                                                                        <w:top w:val="none" w:sz="0" w:space="0" w:color="auto"/>
                                                                                        <w:left w:val="none" w:sz="0" w:space="0" w:color="auto"/>
                                                                                        <w:bottom w:val="none" w:sz="0" w:space="0" w:color="auto"/>
                                                                                        <w:right w:val="none" w:sz="0" w:space="0" w:color="auto"/>
                                                                                      </w:divBdr>
                                                                                    </w:div>
                                                                                  </w:divsChild>
                                                                                </w:div>
                                                                                <w:div w:id="2058973323">
                                                                                  <w:marLeft w:val="0"/>
                                                                                  <w:marRight w:val="0"/>
                                                                                  <w:marTop w:val="0"/>
                                                                                  <w:marBottom w:val="0"/>
                                                                                  <w:divBdr>
                                                                                    <w:top w:val="none" w:sz="0" w:space="0" w:color="auto"/>
                                                                                    <w:left w:val="none" w:sz="0" w:space="0" w:color="auto"/>
                                                                                    <w:bottom w:val="none" w:sz="0" w:space="0" w:color="auto"/>
                                                                                    <w:right w:val="none" w:sz="0" w:space="0" w:color="auto"/>
                                                                                  </w:divBdr>
                                                                                  <w:divsChild>
                                                                                    <w:div w:id="785738792">
                                                                                      <w:marLeft w:val="0"/>
                                                                                      <w:marRight w:val="0"/>
                                                                                      <w:marTop w:val="0"/>
                                                                                      <w:marBottom w:val="0"/>
                                                                                      <w:divBdr>
                                                                                        <w:top w:val="none" w:sz="0" w:space="0" w:color="auto"/>
                                                                                        <w:left w:val="none" w:sz="0" w:space="0" w:color="auto"/>
                                                                                        <w:bottom w:val="none" w:sz="0" w:space="0" w:color="auto"/>
                                                                                        <w:right w:val="none" w:sz="0" w:space="0" w:color="auto"/>
                                                                                      </w:divBdr>
                                                                                    </w:div>
                                                                                    <w:div w:id="1748575471">
                                                                                      <w:marLeft w:val="0"/>
                                                                                      <w:marRight w:val="0"/>
                                                                                      <w:marTop w:val="0"/>
                                                                                      <w:marBottom w:val="0"/>
                                                                                      <w:divBdr>
                                                                                        <w:top w:val="none" w:sz="0" w:space="0" w:color="auto"/>
                                                                                        <w:left w:val="none" w:sz="0" w:space="0" w:color="auto"/>
                                                                                        <w:bottom w:val="none" w:sz="0" w:space="0" w:color="auto"/>
                                                                                        <w:right w:val="none" w:sz="0" w:space="0" w:color="auto"/>
                                                                                      </w:divBdr>
                                                                                    </w:div>
                                                                                    <w:div w:id="1940134707">
                                                                                      <w:marLeft w:val="0"/>
                                                                                      <w:marRight w:val="0"/>
                                                                                      <w:marTop w:val="0"/>
                                                                                      <w:marBottom w:val="0"/>
                                                                                      <w:divBdr>
                                                                                        <w:top w:val="none" w:sz="0" w:space="0" w:color="auto"/>
                                                                                        <w:left w:val="none" w:sz="0" w:space="0" w:color="auto"/>
                                                                                        <w:bottom w:val="none" w:sz="0" w:space="0" w:color="auto"/>
                                                                                        <w:right w:val="none" w:sz="0" w:space="0" w:color="auto"/>
                                                                                      </w:divBdr>
                                                                                    </w:div>
                                                                                    <w:div w:id="1576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248275">
      <w:bodyDiv w:val="1"/>
      <w:marLeft w:val="0"/>
      <w:marRight w:val="0"/>
      <w:marTop w:val="0"/>
      <w:marBottom w:val="0"/>
      <w:divBdr>
        <w:top w:val="none" w:sz="0" w:space="0" w:color="auto"/>
        <w:left w:val="none" w:sz="0" w:space="0" w:color="auto"/>
        <w:bottom w:val="none" w:sz="0" w:space="0" w:color="auto"/>
        <w:right w:val="none" w:sz="0" w:space="0" w:color="auto"/>
      </w:divBdr>
    </w:div>
    <w:div w:id="1102578240">
      <w:bodyDiv w:val="1"/>
      <w:marLeft w:val="0"/>
      <w:marRight w:val="0"/>
      <w:marTop w:val="0"/>
      <w:marBottom w:val="0"/>
      <w:divBdr>
        <w:top w:val="none" w:sz="0" w:space="0" w:color="auto"/>
        <w:left w:val="none" w:sz="0" w:space="0" w:color="auto"/>
        <w:bottom w:val="none" w:sz="0" w:space="0" w:color="auto"/>
        <w:right w:val="none" w:sz="0" w:space="0" w:color="auto"/>
      </w:divBdr>
    </w:div>
    <w:div w:id="1206334401">
      <w:bodyDiv w:val="1"/>
      <w:marLeft w:val="0"/>
      <w:marRight w:val="0"/>
      <w:marTop w:val="0"/>
      <w:marBottom w:val="0"/>
      <w:divBdr>
        <w:top w:val="none" w:sz="0" w:space="0" w:color="auto"/>
        <w:left w:val="none" w:sz="0" w:space="0" w:color="auto"/>
        <w:bottom w:val="none" w:sz="0" w:space="0" w:color="auto"/>
        <w:right w:val="none" w:sz="0" w:space="0" w:color="auto"/>
      </w:divBdr>
    </w:div>
    <w:div w:id="1400325962">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94565823">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760640728">
      <w:bodyDiv w:val="1"/>
      <w:marLeft w:val="0"/>
      <w:marRight w:val="0"/>
      <w:marTop w:val="0"/>
      <w:marBottom w:val="0"/>
      <w:divBdr>
        <w:top w:val="none" w:sz="0" w:space="0" w:color="auto"/>
        <w:left w:val="none" w:sz="0" w:space="0" w:color="auto"/>
        <w:bottom w:val="none" w:sz="0" w:space="0" w:color="auto"/>
        <w:right w:val="none" w:sz="0" w:space="0" w:color="auto"/>
      </w:divBdr>
      <w:divsChild>
        <w:div w:id="387337489">
          <w:marLeft w:val="547"/>
          <w:marRight w:val="0"/>
          <w:marTop w:val="0"/>
          <w:marBottom w:val="0"/>
          <w:divBdr>
            <w:top w:val="none" w:sz="0" w:space="0" w:color="auto"/>
            <w:left w:val="none" w:sz="0" w:space="0" w:color="auto"/>
            <w:bottom w:val="none" w:sz="0" w:space="0" w:color="auto"/>
            <w:right w:val="none" w:sz="0" w:space="0" w:color="auto"/>
          </w:divBdr>
        </w:div>
        <w:div w:id="781803653">
          <w:marLeft w:val="547"/>
          <w:marRight w:val="0"/>
          <w:marTop w:val="0"/>
          <w:marBottom w:val="0"/>
          <w:divBdr>
            <w:top w:val="none" w:sz="0" w:space="0" w:color="auto"/>
            <w:left w:val="none" w:sz="0" w:space="0" w:color="auto"/>
            <w:bottom w:val="none" w:sz="0" w:space="0" w:color="auto"/>
            <w:right w:val="none" w:sz="0" w:space="0" w:color="auto"/>
          </w:divBdr>
        </w:div>
        <w:div w:id="891428924">
          <w:marLeft w:val="547"/>
          <w:marRight w:val="0"/>
          <w:marTop w:val="0"/>
          <w:marBottom w:val="0"/>
          <w:divBdr>
            <w:top w:val="none" w:sz="0" w:space="0" w:color="auto"/>
            <w:left w:val="none" w:sz="0" w:space="0" w:color="auto"/>
            <w:bottom w:val="none" w:sz="0" w:space="0" w:color="auto"/>
            <w:right w:val="none" w:sz="0" w:space="0" w:color="auto"/>
          </w:divBdr>
        </w:div>
        <w:div w:id="1015569458">
          <w:marLeft w:val="1123"/>
          <w:marRight w:val="0"/>
          <w:marTop w:val="0"/>
          <w:marBottom w:val="0"/>
          <w:divBdr>
            <w:top w:val="none" w:sz="0" w:space="0" w:color="auto"/>
            <w:left w:val="none" w:sz="0" w:space="0" w:color="auto"/>
            <w:bottom w:val="none" w:sz="0" w:space="0" w:color="auto"/>
            <w:right w:val="none" w:sz="0" w:space="0" w:color="auto"/>
          </w:divBdr>
        </w:div>
        <w:div w:id="1308978686">
          <w:marLeft w:val="547"/>
          <w:marRight w:val="0"/>
          <w:marTop w:val="0"/>
          <w:marBottom w:val="0"/>
          <w:divBdr>
            <w:top w:val="none" w:sz="0" w:space="0" w:color="auto"/>
            <w:left w:val="none" w:sz="0" w:space="0" w:color="auto"/>
            <w:bottom w:val="none" w:sz="0" w:space="0" w:color="auto"/>
            <w:right w:val="none" w:sz="0" w:space="0" w:color="auto"/>
          </w:divBdr>
        </w:div>
        <w:div w:id="1491750586">
          <w:marLeft w:val="1123"/>
          <w:marRight w:val="0"/>
          <w:marTop w:val="0"/>
          <w:marBottom w:val="0"/>
          <w:divBdr>
            <w:top w:val="none" w:sz="0" w:space="0" w:color="auto"/>
            <w:left w:val="none" w:sz="0" w:space="0" w:color="auto"/>
            <w:bottom w:val="none" w:sz="0" w:space="0" w:color="auto"/>
            <w:right w:val="none" w:sz="0" w:space="0" w:color="auto"/>
          </w:divBdr>
        </w:div>
        <w:div w:id="2040085852">
          <w:marLeft w:val="1166"/>
          <w:marRight w:val="0"/>
          <w:marTop w:val="0"/>
          <w:marBottom w:val="0"/>
          <w:divBdr>
            <w:top w:val="none" w:sz="0" w:space="0" w:color="auto"/>
            <w:left w:val="none" w:sz="0" w:space="0" w:color="auto"/>
            <w:bottom w:val="none" w:sz="0" w:space="0" w:color="auto"/>
            <w:right w:val="none" w:sz="0" w:space="0" w:color="auto"/>
          </w:divBdr>
        </w:div>
      </w:divsChild>
    </w:div>
    <w:div w:id="1831746924">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52805921">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5DE03-2C22-4E18-9C5F-AFF792379C70}">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3.xml><?xml version="1.0" encoding="utf-8"?>
<ds:datastoreItem xmlns:ds="http://schemas.openxmlformats.org/officeDocument/2006/customXml" ds:itemID="{FF71D22F-E141-4CF1-B6AC-A624B2EBC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9F626-FCF5-47FF-91FB-DFDC5E01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49</TotalTime>
  <Pages>9</Pages>
  <Words>4176</Words>
  <Characters>21644</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Stephen Grant</cp:lastModifiedBy>
  <cp:revision>3</cp:revision>
  <cp:lastPrinted>2019-08-08T12:38:00Z</cp:lastPrinted>
  <dcterms:created xsi:type="dcterms:W3CDTF">2019-08-16T14:45:00Z</dcterms:created>
  <dcterms:modified xsi:type="dcterms:W3CDTF">2019-08-17T04:46:00Z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b49125f3-2712-44fd-b034-3824f3555266</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AuthorIds_UIVersion_1536">
    <vt:lpwstr>249</vt:lpwstr>
  </property>
  <property fmtid="{D5CDD505-2E9C-101B-9397-08002B2CF9AE}" pid="24" name="Order">
    <vt:r8>3190400</vt:r8>
  </property>
  <property fmtid="{D5CDD505-2E9C-101B-9397-08002B2CF9AE}" pid="25" name="xd_Signature">
    <vt:bool>false</vt:bool>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ies>
</file>